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B4" w:rsidRPr="00227BB4" w:rsidRDefault="00227BB4" w:rsidP="00227BB4">
      <w:pPr>
        <w:rPr>
          <w:rFonts w:ascii="Times New Roman" w:hAnsi="Times New Roman" w:cs="Times New Roman"/>
        </w:rPr>
      </w:pPr>
      <w:r w:rsidRPr="00227BB4">
        <w:rPr>
          <w:rFonts w:ascii="Times New Roman" w:hAnsi="Times New Roman" w:cs="Times New Roman"/>
        </w:rPr>
        <w:t>NCGG Alzheimer's disease GWAS summary statistics (2020)</w:t>
      </w:r>
    </w:p>
    <w:p w:rsidR="00227BB4" w:rsidRPr="00227BB4" w:rsidRDefault="00227BB4" w:rsidP="00227BB4">
      <w:pPr>
        <w:rPr>
          <w:rFonts w:ascii="Times New Roman" w:hAnsi="Times New Roman" w:cs="Times New Roman"/>
        </w:rPr>
      </w:pPr>
    </w:p>
    <w:p w:rsidR="00227BB4" w:rsidRPr="00227BB4" w:rsidRDefault="00227BB4" w:rsidP="00227BB4">
      <w:pPr>
        <w:rPr>
          <w:rFonts w:ascii="Times New Roman" w:hAnsi="Times New Roman" w:cs="Times New Roman"/>
        </w:rPr>
      </w:pPr>
      <w:r w:rsidRPr="00227BB4">
        <w:rPr>
          <w:rFonts w:ascii="Times New Roman" w:hAnsi="Times New Roman" w:cs="Times New Roman"/>
        </w:rPr>
        <w:t>General Information</w:t>
      </w:r>
      <w:r>
        <w:rPr>
          <w:rFonts w:ascii="Times New Roman" w:hAnsi="Times New Roman" w:cs="Times New Roman"/>
        </w:rPr>
        <w:t>:</w:t>
      </w:r>
    </w:p>
    <w:p w:rsidR="009C6152" w:rsidRPr="00227BB4" w:rsidRDefault="00227BB4" w:rsidP="00227BB4">
      <w:pPr>
        <w:rPr>
          <w:rFonts w:ascii="Times New Roman" w:hAnsi="Times New Roman" w:cs="Times New Roman"/>
        </w:rPr>
      </w:pPr>
      <w:r w:rsidRPr="00227BB4">
        <w:rPr>
          <w:rFonts w:ascii="Times New Roman" w:hAnsi="Times New Roman" w:cs="Times New Roman"/>
        </w:rPr>
        <w:t xml:space="preserve"># Number of analyzed samples: 3,962 Alzheimer's disease </w:t>
      </w:r>
      <w:r>
        <w:rPr>
          <w:rFonts w:ascii="Times New Roman" w:hAnsi="Times New Roman" w:cs="Times New Roman"/>
        </w:rPr>
        <w:t>(</w:t>
      </w:r>
      <w:r w:rsidRPr="00227BB4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)</w:t>
      </w:r>
      <w:r w:rsidRPr="00227BB4">
        <w:rPr>
          <w:rFonts w:ascii="Times New Roman" w:hAnsi="Times New Roman" w:cs="Times New Roman"/>
        </w:rPr>
        <w:t xml:space="preserve"> cases and 4,074 controls of Japanese individuals (2,974 AD cases and 3,096 controls from the National Center for Geriatrics</w:t>
      </w:r>
      <w:r>
        <w:rPr>
          <w:rFonts w:ascii="Times New Roman" w:hAnsi="Times New Roman" w:cs="Times New Roman"/>
        </w:rPr>
        <w:t xml:space="preserve"> </w:t>
      </w:r>
      <w:r w:rsidRPr="00227BB4">
        <w:rPr>
          <w:rFonts w:ascii="Times New Roman" w:hAnsi="Times New Roman" w:cs="Times New Roman"/>
        </w:rPr>
        <w:t>and Gerontology</w:t>
      </w:r>
      <w:r>
        <w:rPr>
          <w:rFonts w:ascii="Times New Roman" w:hAnsi="Times New Roman" w:cs="Times New Roman"/>
        </w:rPr>
        <w:t xml:space="preserve"> (</w:t>
      </w:r>
      <w:r w:rsidRPr="00227BB4">
        <w:rPr>
          <w:rFonts w:ascii="Times New Roman" w:hAnsi="Times New Roman" w:cs="Times New Roman"/>
        </w:rPr>
        <w:t>NCGG biobank</w:t>
      </w:r>
      <w:r>
        <w:rPr>
          <w:rFonts w:ascii="Times New Roman" w:hAnsi="Times New Roman" w:cs="Times New Roman"/>
        </w:rPr>
        <w:t>)</w:t>
      </w:r>
      <w:r w:rsidRPr="00227BB4">
        <w:rPr>
          <w:rFonts w:ascii="Times New Roman" w:hAnsi="Times New Roman" w:cs="Times New Roman"/>
        </w:rPr>
        <w:t>, 978 AD cases and 988 controls from Niigata University)</w:t>
      </w:r>
    </w:p>
    <w:p w:rsidR="00227BB4" w:rsidRPr="00227BB4" w:rsidRDefault="00227BB4" w:rsidP="00227BB4">
      <w:pPr>
        <w:rPr>
          <w:rFonts w:ascii="Times New Roman" w:hAnsi="Times New Roman" w:cs="Times New Roman"/>
          <w:color w:val="000000" w:themeColor="text1"/>
          <w:sz w:val="22"/>
        </w:rPr>
      </w:pPr>
      <w:r w:rsidRPr="00227BB4">
        <w:rPr>
          <w:rFonts w:ascii="Times New Roman" w:hAnsi="Times New Roman" w:cs="Times New Roman"/>
        </w:rPr>
        <w:t xml:space="preserve"># Age and gender: </w:t>
      </w:r>
      <w:r w:rsidRPr="00227BB4">
        <w:rPr>
          <w:rFonts w:ascii="Times New Roman" w:hAnsi="Times New Roman" w:cs="Times New Roman"/>
          <w:color w:val="000000" w:themeColor="text1"/>
          <w:sz w:val="22"/>
        </w:rPr>
        <w:t>The average age 74.6 years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Pr="00227BB4">
        <w:rPr>
          <w:rFonts w:ascii="Times New Roman" w:hAnsi="Times New Roman" w:cs="Times New Roman"/>
          <w:color w:val="000000" w:themeColor="text1"/>
          <w:sz w:val="22"/>
        </w:rPr>
        <w:t>the female ratio 0.60.</w:t>
      </w:r>
    </w:p>
    <w:p w:rsidR="00227BB4" w:rsidRDefault="00227BB4" w:rsidP="00227BB4">
      <w:pPr>
        <w:rPr>
          <w:rFonts w:ascii="Times New Roman" w:hAnsi="Times New Roman" w:cs="Times New Roman"/>
          <w:color w:val="000000" w:themeColor="text1"/>
          <w:sz w:val="22"/>
        </w:rPr>
      </w:pPr>
      <w:r w:rsidRPr="00227BB4">
        <w:rPr>
          <w:rFonts w:ascii="Times New Roman" w:hAnsi="Times New Roman" w:cs="Times New Roman"/>
          <w:color w:val="000000" w:themeColor="text1"/>
          <w:sz w:val="22"/>
        </w:rPr>
        <w:t>#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Genotyping platform: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</w:rPr>
        <w:t>Affymetrix</w:t>
      </w:r>
      <w:proofErr w:type="spellEnd"/>
      <w:r>
        <w:rPr>
          <w:rFonts w:ascii="Times New Roman" w:hAnsi="Times New Roman" w:cs="Times New Roman"/>
          <w:color w:val="000000" w:themeColor="text1"/>
          <w:sz w:val="22"/>
        </w:rPr>
        <w:t xml:space="preserve"> Japonica Array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(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>NCGG subjects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), </w:t>
      </w:r>
      <w:proofErr w:type="spellStart"/>
      <w:r w:rsidRPr="00237B8F">
        <w:rPr>
          <w:rFonts w:ascii="Times New Roman" w:hAnsi="Times New Roman" w:cs="Times New Roman"/>
          <w:color w:val="000000" w:themeColor="text1"/>
          <w:sz w:val="22"/>
        </w:rPr>
        <w:t>Affymetix</w:t>
      </w:r>
      <w:proofErr w:type="spellEnd"/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Pr="00237B8F">
        <w:rPr>
          <w:rFonts w:ascii="Times New Roman" w:hAnsi="Times New Roman" w:cs="Times New Roman"/>
          <w:color w:val="000000" w:themeColor="text1"/>
          <w:sz w:val="22"/>
        </w:rPr>
        <w:t>GeneChip</w:t>
      </w:r>
      <w:proofErr w:type="spellEnd"/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 6.0 microarrays </w:t>
      </w:r>
      <w:r>
        <w:rPr>
          <w:rFonts w:ascii="Times New Roman" w:hAnsi="Times New Roman" w:cs="Times New Roman"/>
          <w:color w:val="000000" w:themeColor="text1"/>
          <w:sz w:val="22"/>
        </w:rPr>
        <w:t>(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>Niigata subjects</w:t>
      </w:r>
      <w:r>
        <w:rPr>
          <w:rFonts w:ascii="Times New Roman" w:hAnsi="Times New Roman" w:cs="Times New Roman"/>
          <w:color w:val="000000" w:themeColor="text1"/>
          <w:sz w:val="22"/>
        </w:rPr>
        <w:t>).</w:t>
      </w:r>
    </w:p>
    <w:p w:rsidR="00227BB4" w:rsidRPr="00227BB4" w:rsidRDefault="00227BB4" w:rsidP="00227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#Genotype imputation: 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>IMPUTE2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644E4" w:rsidRPr="00237B8F">
        <w:rPr>
          <w:rFonts w:ascii="Times New Roman" w:hAnsi="Times New Roman" w:cs="Times New Roman"/>
          <w:color w:val="000000" w:themeColor="text1"/>
          <w:sz w:val="22"/>
        </w:rPr>
        <w:t xml:space="preserve">with 3.5K Japanese reference panel </w:t>
      </w:r>
      <w:r w:rsidR="000644E4" w:rsidRPr="00237B8F">
        <w:rPr>
          <w:rFonts w:ascii="Times New Roman" w:hAnsi="Times New Roman" w:cs="Times New Roman" w:hint="eastAsia"/>
          <w:color w:val="000000" w:themeColor="text1"/>
          <w:sz w:val="22"/>
        </w:rPr>
        <w:t>developed by Tohoku Medical Megabank Organization (</w:t>
      </w:r>
      <w:proofErr w:type="spellStart"/>
      <w:r w:rsidR="000644E4" w:rsidRPr="00237B8F">
        <w:rPr>
          <w:rFonts w:ascii="Times New Roman" w:hAnsi="Times New Roman" w:cs="Times New Roman" w:hint="eastAsia"/>
          <w:color w:val="000000" w:themeColor="text1"/>
          <w:sz w:val="22"/>
        </w:rPr>
        <w:t>ToMMo</w:t>
      </w:r>
      <w:proofErr w:type="spellEnd"/>
      <w:r w:rsidR="000644E4" w:rsidRPr="00237B8F">
        <w:rPr>
          <w:rFonts w:ascii="Times New Roman" w:hAnsi="Times New Roman" w:cs="Times New Roman" w:hint="eastAsia"/>
          <w:color w:val="000000" w:themeColor="text1"/>
          <w:sz w:val="22"/>
        </w:rPr>
        <w:t>)</w:t>
      </w:r>
      <w:r w:rsidR="000644E4" w:rsidRPr="00237B8F">
        <w:rPr>
          <w:rFonts w:ascii="Times New Roman" w:hAnsi="Times New Roman" w:cs="Times New Roman"/>
          <w:color w:val="000000" w:themeColor="text1"/>
          <w:sz w:val="22"/>
        </w:rPr>
        <w:t xml:space="preserve"> for NCGG subjects</w:t>
      </w:r>
      <w:r w:rsidR="000644E4">
        <w:rPr>
          <w:rFonts w:ascii="Times New Roman" w:hAnsi="Times New Roman" w:cs="Times New Roman"/>
          <w:color w:val="000000" w:themeColor="text1"/>
          <w:sz w:val="22"/>
        </w:rPr>
        <w:t xml:space="preserve"> and IMPUTE2 with 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>1000 Genomes Project reference panel (1000 Genomes Phase 3) for Niigata subjects</w:t>
      </w:r>
      <w:r w:rsidR="000644E4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="000644E4" w:rsidRPr="00237B8F">
        <w:rPr>
          <w:rFonts w:ascii="Times New Roman" w:hAnsi="Times New Roman" w:cs="Times New Roman"/>
          <w:color w:val="000000" w:themeColor="text1"/>
          <w:sz w:val="22"/>
        </w:rPr>
        <w:t>We used imputed variants with an INFO score ≥ 0.4 in the association analysis.</w:t>
      </w:r>
    </w:p>
    <w:p w:rsidR="00227BB4" w:rsidRDefault="00227BB4" w:rsidP="00227BB4">
      <w:pPr>
        <w:rPr>
          <w:rFonts w:ascii="Times New Roman" w:hAnsi="Times New Roman" w:cs="Times New Roman"/>
          <w:color w:val="000000" w:themeColor="text1"/>
          <w:sz w:val="22"/>
        </w:rPr>
      </w:pPr>
      <w:r>
        <w:t xml:space="preserve">#Sample QCs: 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(1) sex inconsistencies (--check-sex), (2) inbreeding coefficient (--het 0.1), (3) genotype </w:t>
      </w:r>
      <w:proofErr w:type="spellStart"/>
      <w:r w:rsidRPr="00237B8F">
        <w:rPr>
          <w:rFonts w:ascii="Times New Roman" w:hAnsi="Times New Roman" w:cs="Times New Roman"/>
          <w:color w:val="000000" w:themeColor="text1"/>
          <w:sz w:val="22"/>
        </w:rPr>
        <w:t>missingness</w:t>
      </w:r>
      <w:proofErr w:type="spellEnd"/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 (--missing 0.05), (4) kinship coefficient (--genome 0.2) and (5) exclusion of outliers from the clusters of East Asian populations in principal component analysis that was conducted together with 1000 Genomes Phase 3 data.</w:t>
      </w:r>
    </w:p>
    <w:p w:rsidR="00227BB4" w:rsidRDefault="00227BB4" w:rsidP="00227BB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#Marker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 (SNPs and </w:t>
      </w:r>
      <w:proofErr w:type="spellStart"/>
      <w:r w:rsidRPr="00237B8F">
        <w:rPr>
          <w:rFonts w:ascii="Times New Roman" w:hAnsi="Times New Roman" w:cs="Times New Roman"/>
          <w:color w:val="000000" w:themeColor="text1"/>
          <w:sz w:val="22"/>
        </w:rPr>
        <w:t>In</w:t>
      </w:r>
      <w:r w:rsidRPr="00237B8F">
        <w:rPr>
          <w:rFonts w:ascii="Times New Roman" w:hAnsi="Times New Roman" w:cs="Times New Roman"/>
          <w:sz w:val="22"/>
        </w:rPr>
        <w:t>dels</w:t>
      </w:r>
      <w:proofErr w:type="spellEnd"/>
      <w:r w:rsidRPr="00237B8F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QCs: 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>(1) genotyping efficiency or call rate (--</w:t>
      </w:r>
      <w:proofErr w:type="spellStart"/>
      <w:r w:rsidRPr="00237B8F">
        <w:rPr>
          <w:rFonts w:ascii="Times New Roman" w:hAnsi="Times New Roman" w:cs="Times New Roman"/>
          <w:color w:val="000000" w:themeColor="text1"/>
          <w:sz w:val="22"/>
        </w:rPr>
        <w:t>geno</w:t>
      </w:r>
      <w:proofErr w:type="spellEnd"/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 0.95), (2) minor allele frequency (--</w:t>
      </w:r>
      <w:proofErr w:type="spellStart"/>
      <w:r w:rsidRPr="00237B8F">
        <w:rPr>
          <w:rFonts w:ascii="Times New Roman" w:hAnsi="Times New Roman" w:cs="Times New Roman"/>
          <w:color w:val="000000" w:themeColor="text1"/>
          <w:sz w:val="22"/>
        </w:rPr>
        <w:t>freq</w:t>
      </w:r>
      <w:proofErr w:type="spellEnd"/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 0.001), (3) Hardy-Weinberg equilibrium (--</w:t>
      </w:r>
      <w:proofErr w:type="spellStart"/>
      <w:r w:rsidRPr="00237B8F">
        <w:rPr>
          <w:rFonts w:ascii="Times New Roman" w:hAnsi="Times New Roman" w:cs="Times New Roman"/>
          <w:color w:val="000000" w:themeColor="text1"/>
          <w:sz w:val="22"/>
        </w:rPr>
        <w:t>hwe</w:t>
      </w:r>
      <w:proofErr w:type="spellEnd"/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 0.001)</w:t>
      </w:r>
      <w:r w:rsidRPr="00237B8F">
        <w:rPr>
          <w:rFonts w:ascii="Times New Roman" w:hAnsi="Times New Roman" w:cs="Times New Roman"/>
          <w:sz w:val="22"/>
        </w:rPr>
        <w:t>.</w:t>
      </w:r>
    </w:p>
    <w:p w:rsidR="00804D65" w:rsidRDefault="00804D65" w:rsidP="00227BB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#Marker number: </w:t>
      </w:r>
      <w:r w:rsidRPr="00237B8F">
        <w:rPr>
          <w:rFonts w:ascii="Times New Roman" w:hAnsi="Times New Roman" w:cs="Times New Roman"/>
          <w:sz w:val="22"/>
        </w:rPr>
        <w:t>4,85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>2,957 genetic markers</w:t>
      </w:r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p w:rsidR="00227BB4" w:rsidRDefault="00227BB4" w:rsidP="00227BB4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sz w:val="22"/>
        </w:rPr>
        <w:t xml:space="preserve">#Phenotype: </w:t>
      </w:r>
      <w:r w:rsidRPr="00237B8F">
        <w:rPr>
          <w:rFonts w:ascii="Times New Roman" w:hAnsi="Times New Roman" w:cs="Times New Roman"/>
          <w:sz w:val="22"/>
        </w:rPr>
        <w:t>The common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237B8F">
        <w:rPr>
          <w:rFonts w:ascii="Times New Roman" w:hAnsi="Times New Roman" w:cs="Times New Roman"/>
          <w:sz w:val="22"/>
        </w:rPr>
        <w:t xml:space="preserve">autosomal variants that passed those QC criteria were assessed 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 xml:space="preserve">using logistic regression model </w:t>
      </w:r>
      <w:r w:rsidRPr="00237B8F">
        <w:rPr>
          <w:rFonts w:ascii="Times New Roman" w:hAnsi="Times New Roman" w:cs="Times New Roman"/>
          <w:sz w:val="22"/>
        </w:rPr>
        <w:t xml:space="preserve">with adjustment for sex and age </w:t>
      </w:r>
      <w:r w:rsidRPr="00237B8F">
        <w:rPr>
          <w:rFonts w:ascii="Times New Roman" w:hAnsi="Times New Roman" w:cs="Times New Roman"/>
          <w:color w:val="000000" w:themeColor="text1"/>
          <w:sz w:val="22"/>
        </w:rPr>
        <w:t>using PLINK software (--logistic)</w:t>
      </w:r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p w:rsidR="00227BB4" w:rsidRDefault="00227BB4" w:rsidP="00227BB4">
      <w:pPr>
        <w:rPr>
          <w:rFonts w:ascii="Times New Roman" w:hAnsi="Times New Roman" w:cs="Times New Roman"/>
          <w:color w:val="000000" w:themeColor="text1"/>
          <w:sz w:val="22"/>
        </w:rPr>
      </w:pPr>
    </w:p>
    <w:p w:rsidR="00227BB4" w:rsidRDefault="00227BB4" w:rsidP="00227BB4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Uploaded file name:</w:t>
      </w:r>
    </w:p>
    <w:p w:rsidR="00227BB4" w:rsidRDefault="00227BB4" w:rsidP="00227BB4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NCGG_AD_GWAS_2020</w:t>
      </w:r>
      <w:r w:rsidR="00807097">
        <w:rPr>
          <w:rFonts w:ascii="Times New Roman" w:hAnsi="Times New Roman" w:cs="Times New Roman" w:hint="eastAsia"/>
          <w:color w:val="000000" w:themeColor="text1"/>
          <w:sz w:val="22"/>
        </w:rPr>
        <w:t>-2</w:t>
      </w:r>
    </w:p>
    <w:p w:rsidR="00C15D05" w:rsidRDefault="00C15D05" w:rsidP="00227BB4">
      <w:pPr>
        <w:rPr>
          <w:rFonts w:ascii="Times New Roman" w:hAnsi="Times New Roman" w:cs="Times New Roman" w:hint="eastAsia"/>
          <w:color w:val="000000" w:themeColor="text1"/>
          <w:sz w:val="22"/>
        </w:rPr>
      </w:pPr>
    </w:p>
    <w:p w:rsidR="00227BB4" w:rsidRDefault="00227BB4" w:rsidP="00227BB4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Column: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2"/>
        <w:gridCol w:w="1468"/>
        <w:gridCol w:w="5210"/>
      </w:tblGrid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pPr>
              <w:rPr>
                <w:b/>
                <w:bCs/>
              </w:rPr>
            </w:pPr>
            <w:r w:rsidRPr="00C15D05">
              <w:rPr>
                <w:rFonts w:hint="eastAsia"/>
                <w:b/>
                <w:bCs/>
              </w:rPr>
              <w:t>Number of column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pPr>
              <w:rPr>
                <w:b/>
                <w:bCs/>
              </w:rPr>
            </w:pPr>
            <w:r w:rsidRPr="00C15D05">
              <w:rPr>
                <w:rFonts w:hint="eastAsia"/>
                <w:b/>
                <w:bCs/>
              </w:rPr>
              <w:t>column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pPr>
              <w:rPr>
                <w:b/>
                <w:bCs/>
              </w:rPr>
            </w:pPr>
            <w:r w:rsidRPr="00C15D05">
              <w:rPr>
                <w:rFonts w:hint="eastAsia"/>
                <w:b/>
                <w:bCs/>
              </w:rPr>
              <w:t>Description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1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CHR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chromosome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2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SNP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marker name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3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BP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position (hg19)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4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A1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minor allele for whole data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5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A2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major allele for whole data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6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NMISS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Number of non-missing individuals included in analysis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lastRenderedPageBreak/>
              <w:t>7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NMISS_A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Number of non-missing individuals included in analysis for cases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8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NMISS_U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Number of non-missing individuals included in analysis for controls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9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MAF_A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minor allele frequency for cases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10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MAF_U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minor allele frequency for controls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11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OR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odds ratio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12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SE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standard error for odds ratio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13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L95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Lower bound on confidence interval for odds ratio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14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U95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Upper bound on confidence interval for odds ratio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15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STAT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Coefficient t-statistic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16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P</w:t>
            </w:r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 xml:space="preserve">p-value for logistic regression model 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17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proofErr w:type="spellStart"/>
            <w:r w:rsidRPr="00C15D05">
              <w:rPr>
                <w:rFonts w:hint="eastAsia"/>
              </w:rPr>
              <w:t>Info_NCGG</w:t>
            </w:r>
            <w:proofErr w:type="spellEnd"/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Imputation info score for NCGG data</w:t>
            </w:r>
          </w:p>
        </w:tc>
      </w:tr>
      <w:tr w:rsidR="00C15D05" w:rsidRPr="00C15D05" w:rsidTr="00C15D05">
        <w:trPr>
          <w:trHeight w:val="375"/>
        </w:trPr>
        <w:tc>
          <w:tcPr>
            <w:tcW w:w="2042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18</w:t>
            </w:r>
          </w:p>
        </w:tc>
        <w:tc>
          <w:tcPr>
            <w:tcW w:w="1468" w:type="dxa"/>
            <w:noWrap/>
            <w:hideMark/>
          </w:tcPr>
          <w:p w:rsidR="00C15D05" w:rsidRPr="00C15D05" w:rsidRDefault="00C15D05">
            <w:proofErr w:type="spellStart"/>
            <w:r w:rsidRPr="00C15D05">
              <w:rPr>
                <w:rFonts w:hint="eastAsia"/>
              </w:rPr>
              <w:t>Info_Niigata</w:t>
            </w:r>
            <w:proofErr w:type="spellEnd"/>
          </w:p>
        </w:tc>
        <w:tc>
          <w:tcPr>
            <w:tcW w:w="5210" w:type="dxa"/>
            <w:noWrap/>
            <w:hideMark/>
          </w:tcPr>
          <w:p w:rsidR="00C15D05" w:rsidRPr="00C15D05" w:rsidRDefault="00C15D05">
            <w:r w:rsidRPr="00C15D05">
              <w:rPr>
                <w:rFonts w:hint="eastAsia"/>
              </w:rPr>
              <w:t>Imputation info score for Niigata data</w:t>
            </w:r>
          </w:p>
        </w:tc>
      </w:tr>
    </w:tbl>
    <w:p w:rsidR="00C15D05" w:rsidRDefault="00C15D05" w:rsidP="00227BB4">
      <w:bookmarkStart w:id="0" w:name="_GoBack"/>
      <w:bookmarkEnd w:id="0"/>
    </w:p>
    <w:p w:rsidR="009847C5" w:rsidRDefault="009847C5" w:rsidP="00227BB4">
      <w:r>
        <w:rPr>
          <w:rFonts w:hint="eastAsia"/>
        </w:rPr>
        <w:t>URLs</w:t>
      </w:r>
    </w:p>
    <w:p w:rsidR="009847C5" w:rsidRDefault="00166EC2" w:rsidP="00227BB4">
      <w:hyperlink r:id="rId7" w:history="1">
        <w:r w:rsidR="009847C5">
          <w:rPr>
            <w:rStyle w:val="a3"/>
            <w:rFonts w:ascii="&amp;quot" w:hAnsi="&amp;quot"/>
            <w:color w:val="3269A0"/>
            <w:sz w:val="23"/>
            <w:szCs w:val="23"/>
          </w:rPr>
          <w:t>National Bioscience Database Center Human Database</w:t>
        </w:r>
      </w:hyperlink>
    </w:p>
    <w:p w:rsidR="009847C5" w:rsidRDefault="00166EC2" w:rsidP="009847C5">
      <w:hyperlink r:id="rId8" w:history="1">
        <w:r w:rsidR="0091529D" w:rsidRPr="0091529D">
          <w:rPr>
            <w:rStyle w:val="a3"/>
            <w:rFonts w:hint="eastAsia"/>
          </w:rPr>
          <w:t xml:space="preserve">National Center </w:t>
        </w:r>
        <w:r w:rsidR="0091529D" w:rsidRPr="0091529D">
          <w:rPr>
            <w:rStyle w:val="a3"/>
          </w:rPr>
          <w:t>for Geriatrics and Gerontology</w:t>
        </w:r>
      </w:hyperlink>
    </w:p>
    <w:p w:rsidR="0091529D" w:rsidRDefault="00166EC2" w:rsidP="009847C5">
      <w:hyperlink r:id="rId9" w:history="1">
        <w:r w:rsidR="0091529D" w:rsidRPr="0091529D">
          <w:rPr>
            <w:rStyle w:val="a3"/>
          </w:rPr>
          <w:t>NCGG biobank</w:t>
        </w:r>
      </w:hyperlink>
    </w:p>
    <w:p w:rsidR="0091529D" w:rsidRDefault="00166EC2" w:rsidP="009847C5">
      <w:hyperlink r:id="rId10" w:history="1">
        <w:r w:rsidR="00804D65" w:rsidRPr="00804D65">
          <w:rPr>
            <w:rStyle w:val="a3"/>
            <w:rFonts w:hint="eastAsia"/>
          </w:rPr>
          <w:t xml:space="preserve">Brain Research Institute, Niigata </w:t>
        </w:r>
        <w:r w:rsidR="00804D65" w:rsidRPr="00804D65">
          <w:rPr>
            <w:rStyle w:val="a3"/>
          </w:rPr>
          <w:t>University</w:t>
        </w:r>
      </w:hyperlink>
    </w:p>
    <w:p w:rsidR="00804D65" w:rsidRDefault="00804D65" w:rsidP="009847C5"/>
    <w:p w:rsidR="0091529D" w:rsidRPr="0091529D" w:rsidRDefault="0091529D" w:rsidP="009847C5">
      <w:pPr>
        <w:rPr>
          <w:rFonts w:ascii="Times New Roman" w:hAnsi="Times New Roman" w:cs="Times New Roman"/>
          <w:sz w:val="22"/>
        </w:rPr>
      </w:pPr>
      <w:r w:rsidRPr="0091529D">
        <w:rPr>
          <w:rFonts w:ascii="Times New Roman" w:hAnsi="Times New Roman" w:cs="Times New Roman"/>
          <w:sz w:val="22"/>
        </w:rPr>
        <w:t>Reference:</w:t>
      </w:r>
    </w:p>
    <w:p w:rsidR="0091529D" w:rsidRPr="0091529D" w:rsidRDefault="0091529D" w:rsidP="009847C5">
      <w:pPr>
        <w:rPr>
          <w:rFonts w:ascii="Times New Roman" w:hAnsi="Times New Roman" w:cs="Times New Roman"/>
          <w:sz w:val="22"/>
        </w:rPr>
      </w:pPr>
      <w:r w:rsidRPr="0091529D">
        <w:rPr>
          <w:rFonts w:ascii="Times New Roman" w:hAnsi="Times New Roman" w:cs="Times New Roman"/>
          <w:color w:val="000000"/>
          <w:sz w:val="22"/>
          <w:shd w:val="clear" w:color="auto" w:fill="FFFFFF"/>
        </w:rPr>
        <w:t>If you use these date, please cite the following paper:</w:t>
      </w:r>
    </w:p>
    <w:p w:rsidR="0091529D" w:rsidRPr="0091529D" w:rsidRDefault="0091529D" w:rsidP="009847C5">
      <w:proofErr w:type="spellStart"/>
      <w:r w:rsidRPr="0091529D">
        <w:rPr>
          <w:rFonts w:ascii="Times New Roman" w:hAnsi="Times New Roman" w:cs="Times New Roman"/>
          <w:sz w:val="22"/>
        </w:rPr>
        <w:t>Shigemizu</w:t>
      </w:r>
      <w:proofErr w:type="spellEnd"/>
      <w:r w:rsidRPr="0091529D">
        <w:rPr>
          <w:rFonts w:ascii="Times New Roman" w:hAnsi="Times New Roman" w:cs="Times New Roman"/>
          <w:sz w:val="22"/>
        </w:rPr>
        <w:t xml:space="preserve"> D et al.: Ethnic and trans-ethnic genome-wide association studies identify new loci influencing Alzheimer’s disease risk in Japanese.</w:t>
      </w:r>
      <w:r>
        <w:rPr>
          <w:rFonts w:ascii="Times New Roman" w:hAnsi="Times New Roman" w:cs="Times New Roman"/>
          <w:b/>
          <w:sz w:val="22"/>
        </w:rPr>
        <w:t xml:space="preserve"> </w:t>
      </w:r>
    </w:p>
    <w:sectPr w:rsidR="0091529D" w:rsidRPr="00915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C2" w:rsidRDefault="00166EC2" w:rsidP="00804D65">
      <w:r>
        <w:separator/>
      </w:r>
    </w:p>
  </w:endnote>
  <w:endnote w:type="continuationSeparator" w:id="0">
    <w:p w:rsidR="00166EC2" w:rsidRDefault="00166EC2" w:rsidP="0080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C2" w:rsidRDefault="00166EC2" w:rsidP="00804D65">
      <w:r>
        <w:separator/>
      </w:r>
    </w:p>
  </w:footnote>
  <w:footnote w:type="continuationSeparator" w:id="0">
    <w:p w:rsidR="00166EC2" w:rsidRDefault="00166EC2" w:rsidP="0080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B4"/>
    <w:rsid w:val="000644E4"/>
    <w:rsid w:val="00166EC2"/>
    <w:rsid w:val="00227BB4"/>
    <w:rsid w:val="002A069F"/>
    <w:rsid w:val="00804D65"/>
    <w:rsid w:val="00807097"/>
    <w:rsid w:val="0091529D"/>
    <w:rsid w:val="009847C5"/>
    <w:rsid w:val="009C1930"/>
    <w:rsid w:val="009C6152"/>
    <w:rsid w:val="00C15D05"/>
    <w:rsid w:val="00E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7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04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D65"/>
  </w:style>
  <w:style w:type="paragraph" w:styleId="a6">
    <w:name w:val="footer"/>
    <w:basedOn w:val="a"/>
    <w:link w:val="a7"/>
    <w:uiPriority w:val="99"/>
    <w:unhideWhenUsed/>
    <w:rsid w:val="00804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D65"/>
  </w:style>
  <w:style w:type="paragraph" w:styleId="a8">
    <w:name w:val="Balloon Text"/>
    <w:basedOn w:val="a"/>
    <w:link w:val="a9"/>
    <w:uiPriority w:val="99"/>
    <w:semiHidden/>
    <w:unhideWhenUsed/>
    <w:rsid w:val="00C1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D0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1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7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04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D65"/>
  </w:style>
  <w:style w:type="paragraph" w:styleId="a6">
    <w:name w:val="footer"/>
    <w:basedOn w:val="a"/>
    <w:link w:val="a7"/>
    <w:uiPriority w:val="99"/>
    <w:unhideWhenUsed/>
    <w:rsid w:val="00804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D65"/>
  </w:style>
  <w:style w:type="paragraph" w:styleId="a8">
    <w:name w:val="Balloon Text"/>
    <w:basedOn w:val="a"/>
    <w:link w:val="a9"/>
    <w:uiPriority w:val="99"/>
    <w:semiHidden/>
    <w:unhideWhenUsed/>
    <w:rsid w:val="00C15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D0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1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gg.go.jp/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mandbs.biosciencedbc.jp/e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ri.niigata-u.ac.jp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gg.go.jp/mgc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OZAKI1</dc:creator>
  <cp:keywords/>
  <dc:description/>
  <cp:lastModifiedBy>OZAKi-2</cp:lastModifiedBy>
  <cp:revision>3</cp:revision>
  <dcterms:created xsi:type="dcterms:W3CDTF">2020-07-06T04:15:00Z</dcterms:created>
  <dcterms:modified xsi:type="dcterms:W3CDTF">2020-07-07T02:52:00Z</dcterms:modified>
</cp:coreProperties>
</file>