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5089" w14:textId="071C0CC8" w:rsidR="00B44A5A" w:rsidRPr="00B44A5A" w:rsidRDefault="00B44A5A" w:rsidP="00B44A5A">
      <w:pPr>
        <w:widowControl/>
        <w:spacing w:after="240"/>
        <w:jc w:val="left"/>
        <w:outlineLvl w:val="0"/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</w:pPr>
      <w:bookmarkStart w:id="0" w:name="general-information:"/>
      <w:bookmarkEnd w:id="0"/>
      <w:r w:rsidRPr="00BB7A72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 xml:space="preserve">GWAS summary statistics of </w:t>
      </w:r>
      <w:r w:rsidR="00F9555F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>psoriasis</w:t>
      </w:r>
    </w:p>
    <w:p w14:paraId="605FD264" w14:textId="49350A42" w:rsidR="002E0633" w:rsidRPr="00D70D3F" w:rsidRDefault="002E0633" w:rsidP="00DD4D7F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General information:</w:t>
      </w:r>
    </w:p>
    <w:p w14:paraId="0EE54681" w14:textId="7C02FEA1" w:rsidR="00B31F7B" w:rsidRPr="00F9555F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F9555F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Sample size</w:t>
      </w:r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1B384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1</w:t>
      </w:r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,415 psoriasis cases and 3,968 control </w:t>
      </w:r>
      <w:proofErr w:type="gramStart"/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participants</w:t>
      </w:r>
      <w:proofErr w:type="gramEnd"/>
    </w:p>
    <w:p w14:paraId="0CCE804F" w14:textId="4EE8AA04" w:rsidR="00B31F7B" w:rsidRPr="00F9555F" w:rsidRDefault="00F9555F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F9555F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Sequencing platform</w:t>
      </w:r>
      <w:r w:rsidR="00B31F7B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Illumina </w:t>
      </w:r>
      <w:proofErr w:type="spellStart"/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HiSeq</w:t>
      </w:r>
      <w:proofErr w:type="spellEnd"/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X Ten or </w:t>
      </w:r>
      <w:proofErr w:type="spellStart"/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NovaSeq</w:t>
      </w:r>
      <w:proofErr w:type="spellEnd"/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6000</w:t>
      </w:r>
    </w:p>
    <w:p w14:paraId="1B3588A8" w14:textId="6FA99E4B" w:rsidR="00B31F7B" w:rsidRPr="00F9555F" w:rsidRDefault="00B31F7B" w:rsidP="00C20E26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F9555F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Sample QC</w:t>
      </w:r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We excluded samples with (</w:t>
      </w:r>
      <w:proofErr w:type="spellStart"/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i</w:t>
      </w:r>
      <w:proofErr w:type="spellEnd"/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) excessive heterozygosity (het/</w:t>
      </w:r>
      <w:proofErr w:type="spellStart"/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hom</w:t>
      </w:r>
      <w:proofErr w:type="spellEnd"/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ratio &gt;0.365), (ii) a low genotype call rate (&lt;0.95), (iii) aberrantly high or low </w:t>
      </w:r>
      <w:proofErr w:type="spellStart"/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Ti</w:t>
      </w:r>
      <w:proofErr w:type="spellEnd"/>
      <w:r w:rsidR="00F9555F"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>/Tv ratio, (iv) closely related individuals (KING kingship coefficient cutoff &gt; 0.0884), and (v) non-East Asian ancestry based on PCA.</w:t>
      </w:r>
    </w:p>
    <w:p w14:paraId="46920AC9" w14:textId="4B82208B" w:rsidR="00BD38E8" w:rsidRPr="00F9555F" w:rsidRDefault="00B31F7B" w:rsidP="00C20E26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F9555F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Variant QC</w:t>
      </w:r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</w:rPr>
        <w:t xml:space="preserve">We </w:t>
      </w:r>
      <w:r w:rsidR="006A5878">
        <w:rPr>
          <w:rFonts w:ascii="Arial" w:eastAsia="Arial" w:hAnsi="Arial" w:cs="Arial"/>
          <w:color w:val="000000" w:themeColor="text1"/>
          <w:sz w:val="23"/>
          <w:szCs w:val="23"/>
        </w:rPr>
        <w:t>excluded</w:t>
      </w:r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</w:rPr>
        <w:t xml:space="preserve"> the variant sites (</w:t>
      </w:r>
      <w:proofErr w:type="spellStart"/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</w:rPr>
        <w:t>i</w:t>
      </w:r>
      <w:proofErr w:type="spellEnd"/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</w:rPr>
        <w:t xml:space="preserve">) located in the low complexity regions, (ii) with Hardy–Weinberg </w:t>
      </w:r>
      <w:r w:rsidR="00F9555F" w:rsidRPr="00F9555F">
        <w:rPr>
          <w:rFonts w:ascii="Arial" w:eastAsia="Arial" w:hAnsi="Arial" w:cs="Arial"/>
          <w:i/>
          <w:iCs/>
          <w:color w:val="000000" w:themeColor="text1"/>
          <w:sz w:val="23"/>
          <w:szCs w:val="23"/>
        </w:rPr>
        <w:t>P</w:t>
      </w:r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</w:rPr>
        <w:t xml:space="preserve"> value &lt;1.0 × 10</w:t>
      </w:r>
      <w:r w:rsidR="00F9555F" w:rsidRPr="00F9555F">
        <w:rPr>
          <w:rFonts w:ascii="Arial" w:eastAsia="Arial" w:hAnsi="Arial" w:cs="Arial" w:hint="eastAsia"/>
          <w:color w:val="000000" w:themeColor="text1"/>
          <w:sz w:val="23"/>
          <w:szCs w:val="23"/>
          <w:vertAlign w:val="superscript"/>
        </w:rPr>
        <w:t>−</w:t>
      </w:r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  <w:vertAlign w:val="superscript"/>
        </w:rPr>
        <w:t>10</w:t>
      </w:r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</w:rPr>
        <w:t>, (iii) with more than three alleles, (iv) with indels larger than 100bp, (v) with spanning deletions, or (vi) with genotyping call rate &lt;0.95. In addition, we removed variants showing a significant difference in allele frequency (</w:t>
      </w:r>
      <w:r w:rsidR="00F9555F" w:rsidRPr="00F9555F">
        <w:rPr>
          <w:rFonts w:ascii="Arial" w:eastAsia="Arial" w:hAnsi="Arial" w:cs="Arial"/>
          <w:i/>
          <w:iCs/>
          <w:color w:val="000000" w:themeColor="text1"/>
          <w:sz w:val="23"/>
          <w:szCs w:val="23"/>
        </w:rPr>
        <w:t>χ</w:t>
      </w:r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  <w:vertAlign w:val="superscript"/>
        </w:rPr>
        <w:t>2</w:t>
      </w:r>
      <w:r w:rsidR="00F9555F" w:rsidRPr="00F9555F">
        <w:rPr>
          <w:rFonts w:ascii="Arial" w:eastAsia="Arial" w:hAnsi="Arial" w:cs="Arial"/>
          <w:color w:val="000000" w:themeColor="text1"/>
          <w:sz w:val="23"/>
          <w:szCs w:val="23"/>
        </w:rPr>
        <w:t xml:space="preserve"> &gt;300) compared with reference datasets of Japanese ancestry</w:t>
      </w:r>
      <w:r w:rsidR="00F9555F">
        <w:rPr>
          <w:rFonts w:ascii="Arial" w:eastAsia="Arial" w:hAnsi="Arial" w:cs="Arial"/>
          <w:color w:val="000000" w:themeColor="text1"/>
          <w:sz w:val="23"/>
          <w:szCs w:val="23"/>
        </w:rPr>
        <w:t>.</w:t>
      </w:r>
    </w:p>
    <w:p w14:paraId="79609AF6" w14:textId="4A692AF9" w:rsidR="00F9555F" w:rsidRPr="00F9555F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F9555F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Association test</w:t>
      </w:r>
      <w:r w:rsidRPr="00F9555F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FD03AB" w:rsidRPr="00F9555F">
        <w:rPr>
          <w:rFonts w:ascii="Arial" w:eastAsia="Arial Unicode MS" w:hAnsi="Arial" w:cs="Arial"/>
          <w:color w:val="000000" w:themeColor="text1"/>
          <w:sz w:val="23"/>
          <w:szCs w:val="23"/>
        </w:rPr>
        <w:t xml:space="preserve">We </w:t>
      </w:r>
      <w:r w:rsidR="00F9555F">
        <w:rPr>
          <w:rFonts w:ascii="Arial" w:eastAsia="Arial Unicode MS" w:hAnsi="Arial" w:cs="Arial"/>
          <w:color w:val="000000" w:themeColor="text1"/>
          <w:sz w:val="23"/>
          <w:szCs w:val="23"/>
        </w:rPr>
        <w:t xml:space="preserve">statistically tested the association of common genetic variants (minor allele frequency &gt;0.5%) with the psoriasis risk using </w:t>
      </w:r>
      <w:r w:rsidR="00F9555F" w:rsidRPr="00F9555F">
        <w:rPr>
          <w:rFonts w:ascii="Arial" w:eastAsia="Arial Unicode MS" w:hAnsi="Arial" w:cs="Arial"/>
          <w:color w:val="000000" w:themeColor="text1"/>
          <w:sz w:val="23"/>
          <w:szCs w:val="23"/>
        </w:rPr>
        <w:t>a logistic regression assuming an additive genetic model as implemented in PLINK2 version 2.00a3LM</w:t>
      </w:r>
      <w:r w:rsidR="00F9555F">
        <w:rPr>
          <w:rFonts w:ascii="Arial" w:eastAsia="Arial Unicode MS" w:hAnsi="Arial" w:cs="Arial"/>
          <w:color w:val="000000" w:themeColor="text1"/>
          <w:sz w:val="23"/>
          <w:szCs w:val="23"/>
        </w:rPr>
        <w:t xml:space="preserve"> w</w:t>
      </w:r>
      <w:r w:rsidR="00FD03AB" w:rsidRPr="00F9555F">
        <w:rPr>
          <w:rFonts w:ascii="Arial" w:eastAsia="Arial Unicode MS" w:hAnsi="Arial" w:cs="Arial"/>
          <w:color w:val="000000" w:themeColor="text1"/>
          <w:sz w:val="23"/>
          <w:szCs w:val="23"/>
        </w:rPr>
        <w:t xml:space="preserve">ith the adjustment of the top </w:t>
      </w:r>
      <w:r w:rsidR="00F9555F">
        <w:rPr>
          <w:rFonts w:ascii="Arial" w:eastAsia="Arial Unicode MS" w:hAnsi="Arial" w:cs="Arial"/>
          <w:color w:val="000000" w:themeColor="text1"/>
          <w:sz w:val="23"/>
          <w:szCs w:val="23"/>
        </w:rPr>
        <w:t>1</w:t>
      </w:r>
      <w:r w:rsidR="00FD03AB" w:rsidRPr="00F9555F">
        <w:rPr>
          <w:rFonts w:ascii="Arial" w:eastAsia="Arial Unicode MS" w:hAnsi="Arial" w:cs="Arial"/>
          <w:color w:val="000000" w:themeColor="text1"/>
          <w:sz w:val="23"/>
          <w:szCs w:val="23"/>
        </w:rPr>
        <w:t>0 PCs</w:t>
      </w:r>
      <w:r w:rsidR="00F9555F">
        <w:rPr>
          <w:rFonts w:ascii="Arial" w:eastAsia="Arial Unicode MS" w:hAnsi="Arial" w:cs="Arial"/>
          <w:color w:val="000000" w:themeColor="text1"/>
          <w:sz w:val="23"/>
          <w:szCs w:val="23"/>
        </w:rPr>
        <w:t xml:space="preserve">. Association test results were produced separately for the two sequencing platforms and subsequently </w:t>
      </w:r>
      <w:r w:rsidR="00F9555F" w:rsidRPr="00F9555F">
        <w:rPr>
          <w:rFonts w:ascii="Arial" w:eastAsia="Arial Unicode MS" w:hAnsi="Arial" w:cs="Arial"/>
          <w:color w:val="000000" w:themeColor="text1"/>
          <w:sz w:val="23"/>
          <w:szCs w:val="23"/>
        </w:rPr>
        <w:t>meta-analyzed using the inverse-variance weighted fixed effect model implemented in METAL</w:t>
      </w:r>
      <w:r w:rsidR="00F9555F">
        <w:rPr>
          <w:rFonts w:ascii="Arial" w:eastAsia="Arial Unicode MS" w:hAnsi="Arial" w:cs="Arial"/>
          <w:color w:val="000000" w:themeColor="text1"/>
          <w:sz w:val="23"/>
          <w:szCs w:val="23"/>
        </w:rPr>
        <w:t xml:space="preserve"> (version </w:t>
      </w:r>
      <w:r w:rsidR="00F9555F" w:rsidRPr="00F9555F">
        <w:rPr>
          <w:rFonts w:ascii="Arial" w:eastAsia="Arial Unicode MS" w:hAnsi="Arial" w:cs="Arial"/>
          <w:color w:val="000000" w:themeColor="text1"/>
          <w:sz w:val="23"/>
          <w:szCs w:val="23"/>
        </w:rPr>
        <w:t>2011-03-25</w:t>
      </w:r>
      <w:r w:rsidR="00F9555F">
        <w:rPr>
          <w:rFonts w:ascii="Arial" w:eastAsia="Arial Unicode MS" w:hAnsi="Arial" w:cs="Arial"/>
          <w:color w:val="000000" w:themeColor="text1"/>
          <w:sz w:val="23"/>
          <w:szCs w:val="23"/>
        </w:rPr>
        <w:t>).</w:t>
      </w:r>
    </w:p>
    <w:p w14:paraId="38DE5FD4" w14:textId="754E08D0" w:rsidR="00CC39EE" w:rsidRPr="0015550D" w:rsidRDefault="00CC39EE" w:rsidP="0015550D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15550D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Uploaded file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1668"/>
      </w:tblGrid>
      <w:tr w:rsidR="002F0B9E" w:rsidRPr="00BB7A72" w14:paraId="3E78CB06" w14:textId="77777777" w:rsidTr="00343599">
        <w:trPr>
          <w:tblHeader/>
        </w:trPr>
        <w:tc>
          <w:tcPr>
            <w:tcW w:w="594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0F1C3C" w14:textId="77777777" w:rsidR="00CC39EE" w:rsidRPr="00CC39EE" w:rsidRDefault="00CC39EE" w:rsidP="00CC3295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File name</w:t>
            </w:r>
          </w:p>
        </w:tc>
        <w:tc>
          <w:tcPr>
            <w:tcW w:w="253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BB09EE" w14:textId="77777777" w:rsidR="00CC39EE" w:rsidRPr="00CC39EE" w:rsidRDefault="00CC39EE" w:rsidP="00CC3295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Descriptions</w:t>
            </w:r>
          </w:p>
        </w:tc>
      </w:tr>
      <w:tr w:rsidR="002F0B9E" w:rsidRPr="00BB7A72" w14:paraId="3E1F86C5" w14:textId="77777777" w:rsidTr="00343599">
        <w:tc>
          <w:tcPr>
            <w:tcW w:w="594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117DAC" w14:textId="06E1319C" w:rsidR="00CC39EE" w:rsidRPr="00CC39EE" w:rsidRDefault="00D1395B" w:rsidP="00CC3295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GWASsummary_PsV_Japanese_SoneharaCellGenomics2025.txt.gz</w:t>
            </w:r>
          </w:p>
        </w:tc>
        <w:tc>
          <w:tcPr>
            <w:tcW w:w="253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0EF6D1" w14:textId="0A2BD01D" w:rsidR="00CC39EE" w:rsidRPr="00CC39EE" w:rsidRDefault="00CC39EE" w:rsidP="00CC3295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Results for </w:t>
            </w:r>
            <w:r w:rsidR="00D1395B"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8</w:t>
            </w:r>
            <w:r w:rsid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,</w:t>
            </w:r>
            <w:r w:rsidR="00D1395B"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209</w:t>
            </w:r>
            <w:r w:rsid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,</w:t>
            </w:r>
            <w:r w:rsidR="00D1395B"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78</w:t>
            </w:r>
            <w:r w:rsid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0</w:t>
            </w: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variants</w:t>
            </w:r>
          </w:p>
        </w:tc>
      </w:tr>
    </w:tbl>
    <w:p w14:paraId="78E86D0F" w14:textId="1601DA47" w:rsidR="002E0633" w:rsidRPr="002E0633" w:rsidRDefault="002E0633" w:rsidP="0056699E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lastRenderedPageBreak/>
        <w:t>Columns</w:t>
      </w:r>
      <w:bookmarkStart w:id="1" w:name="binary-traits-(disease-endpoints-and-med"/>
      <w:bookmarkEnd w:id="1"/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864"/>
        <w:gridCol w:w="5972"/>
      </w:tblGrid>
      <w:tr w:rsidR="002E0633" w:rsidRPr="002E0633" w14:paraId="1FF900F8" w14:textId="77777777" w:rsidTr="002E0633">
        <w:trPr>
          <w:tblHeader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ACC64C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#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40102E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column name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B95B86" w14:textId="409EECC2" w:rsidR="002E0633" w:rsidRPr="002E0633" w:rsidRDefault="00343599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d</w:t>
            </w:r>
            <w:r w:rsidR="002E0633"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escriptions</w:t>
            </w:r>
          </w:p>
        </w:tc>
      </w:tr>
      <w:tr w:rsidR="008511C8" w:rsidRPr="002E0633" w14:paraId="2EAD93A0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804FE5" w14:textId="5131929B" w:rsidR="008511C8" w:rsidRPr="00D70D3F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85DF15" w14:textId="5454FBBE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MarkerName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CBE8C4" w14:textId="3D9677A1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marker name (</w:t>
            </w:r>
            <w:proofErr w:type="gram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CHR:POS</w:t>
            </w:r>
            <w:proofErr w:type="gramEnd"/>
            <w:r w:rsid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REF</w:t>
            </w:r>
            <w:r w:rsid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/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ALT</w:t>
            </w:r>
            <w:r w:rsid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in GRCh37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)</w:t>
            </w:r>
          </w:p>
        </w:tc>
      </w:tr>
      <w:tr w:rsidR="008511C8" w:rsidRPr="002E0633" w14:paraId="3E78B7C5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D25AD4" w14:textId="19684324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F36156" w14:textId="58CCE677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EA16C7" w14:textId="400E17E2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non-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effect allele</w:t>
            </w:r>
          </w:p>
        </w:tc>
      </w:tr>
      <w:tr w:rsidR="008511C8" w:rsidRPr="002E0633" w14:paraId="68E3FFC3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2ED47D" w14:textId="0DC5BC2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9A83AB" w14:textId="4A2950F2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BA232A" w14:textId="6E037F77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effect allele</w:t>
            </w:r>
          </w:p>
        </w:tc>
      </w:tr>
      <w:tr w:rsidR="008511C8" w:rsidRPr="002E0633" w14:paraId="2DE5D1F4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D7BF46" w14:textId="42F72F4E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D19555" w14:textId="3AE983F2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Freq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5A9A80" w14:textId="27B5999D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 frequency of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the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effect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allele</w:t>
            </w:r>
          </w:p>
        </w:tc>
      </w:tr>
      <w:tr w:rsidR="008511C8" w:rsidRPr="002E0633" w14:paraId="4A893CE9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B452FB" w14:textId="53783992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E0631D" w14:textId="36755AC8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Effect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473A02" w14:textId="17D9BA80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effect size of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the effect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allele</w:t>
            </w:r>
          </w:p>
        </w:tc>
      </w:tr>
      <w:tr w:rsidR="008511C8" w:rsidRPr="002E0633" w14:paraId="232E9F7B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F29CDA" w14:textId="6FED6229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780162" w14:textId="6DB0E664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StdErr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D9CA32" w14:textId="45E6DDD1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standard error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o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f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Effect</w:t>
            </w:r>
          </w:p>
        </w:tc>
      </w:tr>
      <w:tr w:rsidR="008511C8" w:rsidRPr="002E0633" w14:paraId="5486BFE4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A8F7D1" w14:textId="09AF9B6A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37E75D" w14:textId="4325C440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P-value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B3BDD7" w14:textId="796A2902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1B2790">
              <w:rPr>
                <w:rFonts w:ascii="Arial" w:eastAsia="Microsoft YaHei" w:hAnsi="Arial" w:cs="Arial"/>
                <w:i/>
                <w:iCs/>
                <w:color w:val="8E8071"/>
                <w:kern w:val="0"/>
                <w:sz w:val="23"/>
                <w:szCs w:val="23"/>
              </w:rPr>
              <w:t>P</w:t>
            </w:r>
            <w:r w:rsid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-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value </w:t>
            </w:r>
            <w:r w:rsid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for Effect</w:t>
            </w:r>
          </w:p>
        </w:tc>
      </w:tr>
      <w:tr w:rsidR="008511C8" w:rsidRPr="002E0633" w14:paraId="1441D2A0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7C5F0D" w14:textId="6F512806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574BAA" w14:textId="46F24F05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Direction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FE9FB7" w14:textId="04444C65" w:rsidR="008511C8" w:rsidRPr="002E0633" w:rsidRDefault="00C45F9A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summary of effect direction for each study</w:t>
            </w:r>
          </w:p>
        </w:tc>
      </w:tr>
      <w:tr w:rsidR="008511C8" w:rsidRPr="002E0633" w14:paraId="5897C546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39FEDF" w14:textId="207D9DC0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F37413" w14:textId="67677BBF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HetISq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B8C62E" w14:textId="4EF4505E" w:rsidR="008511C8" w:rsidRPr="002E0633" w:rsidRDefault="00C45F9A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C45F9A">
              <w:rPr>
                <w:rFonts w:ascii="Arial" w:eastAsia="Microsoft YaHei" w:hAnsi="Arial" w:cs="Arial"/>
                <w:i/>
                <w:iCs/>
                <w:color w:val="8E8071"/>
                <w:kern w:val="0"/>
                <w:sz w:val="23"/>
                <w:szCs w:val="23"/>
              </w:rPr>
              <w:t>I</w:t>
            </w: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  <w:vertAlign w:val="superscript"/>
              </w:rPr>
              <w:t>2</w:t>
            </w: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statistic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r</w:t>
            </w: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epresenting the between-study heterogeneity</w:t>
            </w:r>
          </w:p>
        </w:tc>
      </w:tr>
      <w:tr w:rsidR="008511C8" w:rsidRPr="002E0633" w14:paraId="1956D8C9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8044B" w14:textId="73EC61FC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498060" w14:textId="0A871E90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HetChiSq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CE8F29" w14:textId="2DDF5844" w:rsidR="008511C8" w:rsidRPr="002E0633" w:rsidRDefault="00C45F9A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C45F9A">
              <w:rPr>
                <w:rFonts w:ascii="Arial" w:eastAsia="Microsoft YaHei" w:hAnsi="Arial" w:cs="Arial"/>
                <w:i/>
                <w:iCs/>
                <w:color w:val="8E8071"/>
                <w:kern w:val="0"/>
                <w:sz w:val="23"/>
                <w:szCs w:val="23"/>
              </w:rPr>
              <w:t>χ</w:t>
            </w: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  <w:vertAlign w:val="superscript"/>
              </w:rPr>
              <w:t>2</w:t>
            </w: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statistic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r</w:t>
            </w: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epresenting the between-study heterogeneity</w:t>
            </w:r>
          </w:p>
        </w:tc>
      </w:tr>
      <w:tr w:rsidR="008511C8" w:rsidRPr="002E0633" w14:paraId="61DA274E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C75609" w14:textId="11BFB28F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3C67E6" w14:textId="430740AB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HetDf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6A80C1" w14:textId="04767B31" w:rsidR="008511C8" w:rsidRPr="002E0633" w:rsidRDefault="00C45F9A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degrees of freedom for heterogeneity statistic</w:t>
            </w:r>
          </w:p>
        </w:tc>
      </w:tr>
      <w:tr w:rsidR="008511C8" w:rsidRPr="002E0633" w14:paraId="4BB7D42F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22D3B5" w14:textId="3B78C24B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207E5A" w14:textId="37F057E0" w:rsidR="008511C8" w:rsidRPr="002E0633" w:rsidRDefault="00D1395B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D1395B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HetPVal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9C13FE" w14:textId="0F82CFAE" w:rsidR="008511C8" w:rsidRPr="002E0633" w:rsidRDefault="00C45F9A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1B2790">
              <w:rPr>
                <w:rFonts w:ascii="Arial" w:eastAsia="Microsoft YaHei" w:hAnsi="Arial" w:cs="Arial"/>
                <w:i/>
                <w:iCs/>
                <w:color w:val="8E8071"/>
                <w:kern w:val="0"/>
                <w:sz w:val="23"/>
                <w:szCs w:val="23"/>
              </w:rPr>
              <w:t>P</w:t>
            </w:r>
            <w:r w:rsidRPr="00C45F9A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-value for heterogeneity statistic</w:t>
            </w:r>
          </w:p>
        </w:tc>
      </w:tr>
    </w:tbl>
    <w:p w14:paraId="6A02957F" w14:textId="77777777" w:rsidR="002E0633" w:rsidRPr="002E0633" w:rsidRDefault="002E0633" w:rsidP="002E0633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bookmarkStart w:id="2" w:name="quantitative-traits-(biomarkers)"/>
      <w:bookmarkStart w:id="3" w:name="reference"/>
      <w:bookmarkEnd w:id="2"/>
      <w:bookmarkEnd w:id="3"/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Reference</w:t>
      </w:r>
    </w:p>
    <w:p w14:paraId="02E6B964" w14:textId="3C944738" w:rsidR="00A27248" w:rsidRPr="00D70D3F" w:rsidRDefault="002E0633" w:rsidP="002E0633">
      <w:pPr>
        <w:widowControl/>
        <w:spacing w:after="240" w:line="285" w:lineRule="atLeast"/>
        <w:jc w:val="left"/>
        <w:rPr>
          <w:rFonts w:ascii="Arial" w:eastAsia="Microsoft YaHei" w:hAnsi="Arial" w:cs="Arial"/>
          <w:color w:val="8E8071"/>
          <w:kern w:val="0"/>
          <w:sz w:val="23"/>
          <w:szCs w:val="23"/>
        </w:rPr>
      </w:pP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If you use the summary statistics, please cite the following paper</w:t>
      </w:r>
      <w:r w:rsidR="00D1395B">
        <w:rPr>
          <w:rFonts w:ascii="Arial" w:eastAsia="Microsoft YaHei" w:hAnsi="Arial" w:cs="Arial"/>
          <w:color w:val="8E8071"/>
          <w:kern w:val="0"/>
          <w:sz w:val="23"/>
          <w:szCs w:val="23"/>
        </w:rPr>
        <w:t>: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br w:type="textWrapping" w:clear="all"/>
      </w:r>
      <w:r w:rsidR="00D1395B">
        <w:rPr>
          <w:rFonts w:ascii="Arial" w:eastAsia="Microsoft YaHei" w:hAnsi="Arial" w:cs="Arial"/>
          <w:color w:val="8E8071"/>
          <w:kern w:val="0"/>
          <w:sz w:val="23"/>
          <w:szCs w:val="23"/>
        </w:rPr>
        <w:t>Sonehara</w:t>
      </w:r>
      <w:r w:rsidR="00FD03AB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K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et al. </w:t>
      </w:r>
      <w:r w:rsidR="00D1395B" w:rsidRPr="00D1395B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Whole-genome sequencing reveals rare and structural variants contributing to psoriasis and identifies </w:t>
      </w:r>
      <w:r w:rsidR="00D1395B" w:rsidRPr="00D1395B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>CERCAM</w:t>
      </w:r>
      <w:r w:rsidR="00D1395B" w:rsidRPr="00D1395B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as a risk gene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. </w:t>
      </w:r>
      <w:r w:rsidR="00D1395B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>Cell</w:t>
      </w:r>
      <w:r w:rsidR="00FD03AB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 xml:space="preserve"> </w:t>
      </w:r>
      <w:r w:rsidR="00D1395B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>Genomics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 202</w:t>
      </w:r>
      <w:r w:rsidR="00D1395B">
        <w:rPr>
          <w:rFonts w:ascii="Arial" w:eastAsia="Microsoft YaHei" w:hAnsi="Arial" w:cs="Arial"/>
          <w:color w:val="8E8071"/>
          <w:kern w:val="0"/>
          <w:sz w:val="23"/>
          <w:szCs w:val="23"/>
        </w:rPr>
        <w:t>5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.</w:t>
      </w:r>
    </w:p>
    <w:sectPr w:rsidR="00A27248" w:rsidRPr="00D70D3F" w:rsidSect="0033108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5AA"/>
    <w:multiLevelType w:val="multilevel"/>
    <w:tmpl w:val="0B6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5B1"/>
    <w:multiLevelType w:val="multilevel"/>
    <w:tmpl w:val="783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141638">
    <w:abstractNumId w:val="0"/>
  </w:num>
  <w:num w:numId="2" w16cid:durableId="58985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3"/>
    <w:rsid w:val="00135FB3"/>
    <w:rsid w:val="0015550D"/>
    <w:rsid w:val="001B2790"/>
    <w:rsid w:val="001B384F"/>
    <w:rsid w:val="001C3678"/>
    <w:rsid w:val="00285459"/>
    <w:rsid w:val="002E032C"/>
    <w:rsid w:val="002E0633"/>
    <w:rsid w:val="002F0B9E"/>
    <w:rsid w:val="003045D5"/>
    <w:rsid w:val="0033108F"/>
    <w:rsid w:val="00343599"/>
    <w:rsid w:val="00366D64"/>
    <w:rsid w:val="00477563"/>
    <w:rsid w:val="0056699E"/>
    <w:rsid w:val="00673998"/>
    <w:rsid w:val="006A5878"/>
    <w:rsid w:val="006F569D"/>
    <w:rsid w:val="007560E9"/>
    <w:rsid w:val="008511C8"/>
    <w:rsid w:val="008F4E7D"/>
    <w:rsid w:val="00A00F46"/>
    <w:rsid w:val="00A27248"/>
    <w:rsid w:val="00B31F7B"/>
    <w:rsid w:val="00B44A5A"/>
    <w:rsid w:val="00BD38E8"/>
    <w:rsid w:val="00C0406A"/>
    <w:rsid w:val="00C26F0B"/>
    <w:rsid w:val="00C45F9A"/>
    <w:rsid w:val="00C75E4B"/>
    <w:rsid w:val="00CC39EE"/>
    <w:rsid w:val="00CF6FE4"/>
    <w:rsid w:val="00D1395B"/>
    <w:rsid w:val="00D43080"/>
    <w:rsid w:val="00D70D3F"/>
    <w:rsid w:val="00DD4D7F"/>
    <w:rsid w:val="00F31745"/>
    <w:rsid w:val="00F42EBD"/>
    <w:rsid w:val="00F9555F"/>
    <w:rsid w:val="00FB6F17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401DE"/>
  <w15:chartTrackingRefBased/>
  <w15:docId w15:val="{BC646895-9C22-274F-8CD7-9D3895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063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063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063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63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E063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E063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E0633"/>
    <w:rPr>
      <w:color w:val="0000FF"/>
      <w:u w:val="single"/>
    </w:rPr>
  </w:style>
  <w:style w:type="character" w:styleId="a4">
    <w:name w:val="Strong"/>
    <w:basedOn w:val="a0"/>
    <w:uiPriority w:val="22"/>
    <w:qFormat/>
    <w:rsid w:val="002E0633"/>
    <w:rPr>
      <w:b/>
      <w:bCs/>
    </w:rPr>
  </w:style>
  <w:style w:type="paragraph" w:styleId="Web">
    <w:name w:val="Normal (Web)"/>
    <w:basedOn w:val="a"/>
    <w:uiPriority w:val="99"/>
    <w:semiHidden/>
    <w:unhideWhenUsed/>
    <w:rsid w:val="002E0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Emphasis"/>
    <w:basedOn w:val="a0"/>
    <w:uiPriority w:val="20"/>
    <w:qFormat/>
    <w:rsid w:val="002E0633"/>
    <w:rPr>
      <w:i/>
      <w:iCs/>
    </w:rPr>
  </w:style>
  <w:style w:type="table" w:styleId="a6">
    <w:name w:val="Table Grid"/>
    <w:basedOn w:val="a1"/>
    <w:uiPriority w:val="39"/>
    <w:rsid w:val="00C75E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究人</dc:creator>
  <cp:keywords/>
  <dc:description/>
  <cp:lastModifiedBy>Kyuto Sonehara</cp:lastModifiedBy>
  <cp:revision>9</cp:revision>
  <dcterms:created xsi:type="dcterms:W3CDTF">2025-07-24T13:51:00Z</dcterms:created>
  <dcterms:modified xsi:type="dcterms:W3CDTF">2025-07-24T17:17:00Z</dcterms:modified>
</cp:coreProperties>
</file>