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85DF" w14:textId="77777777" w:rsidR="00402443" w:rsidRPr="00160F86" w:rsidRDefault="00402443" w:rsidP="00402443">
      <w:pPr>
        <w:widowControl/>
        <w:spacing w:after="240"/>
        <w:jc w:val="left"/>
        <w:outlineLvl w:val="0"/>
        <w:rPr>
          <w:rFonts w:ascii="Arial" w:eastAsia="ＭＳ Ｐゴシック" w:hAnsi="Arial" w:cs="Arial"/>
          <w:b/>
          <w:bCs/>
          <w:color w:val="222222"/>
          <w:kern w:val="36"/>
          <w:sz w:val="44"/>
          <w:szCs w:val="44"/>
        </w:rPr>
      </w:pPr>
      <w:r w:rsidRPr="00160F86">
        <w:rPr>
          <w:rFonts w:ascii="Arial" w:eastAsia="ＭＳ Ｐゴシック" w:hAnsi="Arial" w:cs="Arial"/>
          <w:b/>
          <w:bCs/>
          <w:color w:val="222222"/>
          <w:kern w:val="36"/>
          <w:sz w:val="44"/>
          <w:szCs w:val="44"/>
        </w:rPr>
        <w:t xml:space="preserve">Summary statistics of the genome-wide meta-analysis of neuromyelitis </w:t>
      </w:r>
      <w:proofErr w:type="spellStart"/>
      <w:r w:rsidRPr="00160F86">
        <w:rPr>
          <w:rFonts w:ascii="Arial" w:eastAsia="ＭＳ Ｐゴシック" w:hAnsi="Arial" w:cs="Arial"/>
          <w:b/>
          <w:bCs/>
          <w:color w:val="222222"/>
          <w:kern w:val="36"/>
          <w:sz w:val="44"/>
          <w:szCs w:val="44"/>
        </w:rPr>
        <w:t>optica</w:t>
      </w:r>
      <w:proofErr w:type="spellEnd"/>
      <w:r w:rsidRPr="00160F86">
        <w:rPr>
          <w:rFonts w:ascii="Arial" w:eastAsia="ＭＳ Ｐゴシック" w:hAnsi="Arial" w:cs="Arial"/>
          <w:b/>
          <w:bCs/>
          <w:color w:val="222222"/>
          <w:kern w:val="36"/>
          <w:sz w:val="44"/>
          <w:szCs w:val="44"/>
        </w:rPr>
        <w:t xml:space="preserve"> spectrum disorder in Japanese</w:t>
      </w:r>
    </w:p>
    <w:p w14:paraId="271A1A3A" w14:textId="3A8B1A4C" w:rsidR="00F04F09" w:rsidRPr="00402443" w:rsidRDefault="00615DD9" w:rsidP="00402443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sz w:val="36"/>
          <w:szCs w:val="36"/>
          <w:u w:val="single"/>
        </w:rPr>
      </w:pPr>
      <w:r w:rsidRPr="00861F4A">
        <w:rPr>
          <w:rStyle w:val="a3"/>
          <w:rFonts w:ascii="Arial" w:eastAsia="ＭＳ Ｐゴシック" w:hAnsi="Arial" w:cs="Arial"/>
          <w:sz w:val="36"/>
          <w:szCs w:val="36"/>
          <w:u w:val="single"/>
        </w:rPr>
        <w:t>General information</w:t>
      </w:r>
    </w:p>
    <w:tbl>
      <w:tblPr>
        <w:tblStyle w:val="a4"/>
        <w:tblW w:w="9619" w:type="dxa"/>
        <w:tblLook w:val="04A0" w:firstRow="1" w:lastRow="0" w:firstColumn="1" w:lastColumn="0" w:noHBand="0" w:noVBand="1"/>
      </w:tblPr>
      <w:tblGrid>
        <w:gridCol w:w="3216"/>
        <w:gridCol w:w="6403"/>
      </w:tblGrid>
      <w:tr w:rsidR="005B4117" w:rsidRPr="00F04F09" w14:paraId="597B3CB1" w14:textId="77777777" w:rsidTr="00F04F09">
        <w:trPr>
          <w:trHeight w:val="588"/>
        </w:trPr>
        <w:tc>
          <w:tcPr>
            <w:tcW w:w="3216" w:type="dxa"/>
            <w:noWrap/>
          </w:tcPr>
          <w:p w14:paraId="14C13A3A" w14:textId="00292891" w:rsidR="005B4117" w:rsidRPr="004756FA" w:rsidRDefault="005B4117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Sample size</w:t>
            </w:r>
          </w:p>
        </w:tc>
        <w:tc>
          <w:tcPr>
            <w:tcW w:w="6403" w:type="dxa"/>
          </w:tcPr>
          <w:p w14:paraId="53E37E90" w14:textId="3DD0FD2E" w:rsidR="005B4117" w:rsidRPr="004756FA" w:rsidRDefault="00E14636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240 cases and 50,578 controls (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 xml:space="preserve">163 cases and 40,908 controls in the discovery cohort, and 77 cases and 9,670 controls in 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 xml:space="preserve">the 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replication cohort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)</w:t>
            </w:r>
          </w:p>
        </w:tc>
      </w:tr>
      <w:tr w:rsidR="00F04F09" w:rsidRPr="00F04F09" w14:paraId="5FF42516" w14:textId="77777777" w:rsidTr="003D62B0">
        <w:trPr>
          <w:trHeight w:val="423"/>
        </w:trPr>
        <w:tc>
          <w:tcPr>
            <w:tcW w:w="3216" w:type="dxa"/>
            <w:noWrap/>
            <w:hideMark/>
          </w:tcPr>
          <w:p w14:paraId="4866A924" w14:textId="77777777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Genotyping array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2573A0FF" w14:textId="638904C2" w:rsidR="00F04F09" w:rsidRPr="004756FA" w:rsidRDefault="00351C56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Infinium Asian Screening Array</w:t>
            </w:r>
          </w:p>
        </w:tc>
      </w:tr>
      <w:tr w:rsidR="00F04F09" w:rsidRPr="00F04F09" w14:paraId="330FDF2A" w14:textId="77777777" w:rsidTr="00F04F09">
        <w:trPr>
          <w:trHeight w:val="588"/>
        </w:trPr>
        <w:tc>
          <w:tcPr>
            <w:tcW w:w="3216" w:type="dxa"/>
            <w:noWrap/>
            <w:hideMark/>
          </w:tcPr>
          <w:p w14:paraId="343F9DA7" w14:textId="77777777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Sample QC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078FCF49" w14:textId="0827E0A4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We excluded samples with low genotyping call rates (call rate &lt; 98%)</w:t>
            </w:r>
            <w:r w:rsidR="00351C56" w:rsidRPr="004756FA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351C56" w:rsidRPr="004756FA">
              <w:rPr>
                <w:rFonts w:ascii="Arial" w:hAnsi="Arial" w:cs="Arial"/>
                <w:sz w:val="22"/>
                <w:szCs w:val="22"/>
              </w:rPr>
              <w:t>or potential sex chromosome aneuploidy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 xml:space="preserve">. </w:t>
            </w:r>
            <w:r w:rsidR="00351C56" w:rsidRPr="004756FA">
              <w:rPr>
                <w:rFonts w:ascii="Arial" w:eastAsia="ＭＳ Ｐゴシック" w:hAnsi="Arial" w:cs="Arial"/>
                <w:bCs/>
                <w:sz w:val="22"/>
                <w:szCs w:val="22"/>
              </w:rPr>
              <w:t xml:space="preserve">We included only the individuals of the estimated East Asian ancestry </w:t>
            </w:r>
            <w:r w:rsidR="00351C56" w:rsidRPr="004756FA">
              <w:rPr>
                <w:rFonts w:ascii="Arial" w:eastAsia="ＭＳ Ｐゴシック" w:hAnsi="Arial" w:cs="Arial"/>
                <w:bCs/>
                <w:sz w:val="22"/>
                <w:szCs w:val="22"/>
              </w:rPr>
              <w:t>using t</w:t>
            </w:r>
            <w:r w:rsidR="00351C56" w:rsidRPr="004756FA">
              <w:rPr>
                <w:rFonts w:ascii="Arial" w:eastAsia="ＭＳ Ｐゴシック" w:hAnsi="Arial" w:cs="Arial"/>
                <w:bCs/>
                <w:sz w:val="22"/>
                <w:szCs w:val="22"/>
              </w:rPr>
              <w:t xml:space="preserve">he principal component (PC) </w:t>
            </w:r>
            <w:r w:rsidR="00351C56" w:rsidRPr="004756FA">
              <w:rPr>
                <w:rFonts w:ascii="Arial" w:eastAsia="ＭＳ Ｐゴシック" w:hAnsi="Arial" w:cs="Arial"/>
                <w:bCs/>
                <w:sz w:val="22"/>
                <w:szCs w:val="22"/>
              </w:rPr>
              <w:t>analysis</w:t>
            </w:r>
            <w:r w:rsidR="00351C56" w:rsidRPr="004756FA">
              <w:rPr>
                <w:rFonts w:ascii="Arial" w:eastAsia="ＭＳ Ｐゴシック" w:hAnsi="Arial" w:cs="Arial"/>
                <w:bCs/>
                <w:sz w:val="22"/>
                <w:szCs w:val="22"/>
              </w:rPr>
              <w:t>,</w:t>
            </w:r>
            <w:r w:rsidR="00351C56" w:rsidRPr="004756FA">
              <w:rPr>
                <w:rFonts w:ascii="Arial" w:eastAsia="ＭＳ Ｐゴシック" w:hAnsi="Arial" w:cs="Arial"/>
                <w:sz w:val="22"/>
                <w:szCs w:val="22"/>
              </w:rPr>
              <w:t xml:space="preserve"> and then further restricted to those in Japanese Hondo (the main island of Japan) clusters.</w:t>
            </w:r>
          </w:p>
        </w:tc>
      </w:tr>
      <w:tr w:rsidR="00F04F09" w:rsidRPr="00F04F09" w14:paraId="451ECCAF" w14:textId="77777777" w:rsidTr="00F04F09">
        <w:trPr>
          <w:trHeight w:val="612"/>
        </w:trPr>
        <w:tc>
          <w:tcPr>
            <w:tcW w:w="3216" w:type="dxa"/>
            <w:noWrap/>
            <w:hideMark/>
          </w:tcPr>
          <w:p w14:paraId="02F11837" w14:textId="77777777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Variant QC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763AB42B" w14:textId="4DC78814" w:rsidR="00F04F09" w:rsidRPr="004756FA" w:rsidRDefault="00351C56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We excluded variants with (1) genotyping call rate &lt; 99%, (2) minor allele count &lt; 5, (3) P-value for Hardy–Weinberg equilibrium &lt; 1.0 × 10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  <w:vertAlign w:val="superscript"/>
              </w:rPr>
              <w:t>−10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, and (4) &gt; 5% allele frequency difference compared with the imputation reference panel or the allele frequency panel of Tohoku Medical Megabank Project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 xml:space="preserve"> and in-house reference panel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.</w:t>
            </w:r>
          </w:p>
        </w:tc>
      </w:tr>
      <w:tr w:rsidR="00F04F09" w:rsidRPr="00F04F09" w14:paraId="13D0046C" w14:textId="77777777" w:rsidTr="00F04F09">
        <w:trPr>
          <w:trHeight w:val="294"/>
        </w:trPr>
        <w:tc>
          <w:tcPr>
            <w:tcW w:w="3216" w:type="dxa"/>
            <w:noWrap/>
            <w:hideMark/>
          </w:tcPr>
          <w:p w14:paraId="499F381B" w14:textId="77777777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Phasing and imputation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7C38382D" w14:textId="0D0060B6" w:rsidR="00F04F09" w:rsidRPr="004756FA" w:rsidRDefault="00351C56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SHAPEIT4 and Minimac4</w:t>
            </w:r>
          </w:p>
        </w:tc>
      </w:tr>
      <w:tr w:rsidR="00F04F09" w:rsidRPr="00F04F09" w14:paraId="4D356D2D" w14:textId="77777777" w:rsidTr="00F04F09">
        <w:trPr>
          <w:trHeight w:val="588"/>
        </w:trPr>
        <w:tc>
          <w:tcPr>
            <w:tcW w:w="3216" w:type="dxa"/>
            <w:noWrap/>
            <w:hideMark/>
          </w:tcPr>
          <w:p w14:paraId="2E465045" w14:textId="77777777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Imputation reference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5A8220E9" w14:textId="33AADBFE" w:rsidR="00F04F09" w:rsidRPr="004756FA" w:rsidRDefault="00351C56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I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 xml:space="preserve">n-house Japanese-specific reference panel composed of </w:t>
            </w:r>
            <w:r w:rsidRPr="004756FA">
              <w:rPr>
                <w:rFonts w:ascii="Arial" w:eastAsia="ＭＳ Ｐゴシック" w:hAnsi="Arial" w:cs="Arial"/>
                <w:i/>
                <w:iCs/>
                <w:color w:val="222222"/>
                <w:kern w:val="0"/>
                <w:sz w:val="22"/>
                <w:szCs w:val="22"/>
              </w:rPr>
              <w:t>n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 xml:space="preserve"> = 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>11,754</w:t>
            </w: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 xml:space="preserve"> whole-genome sequence (WGS) data</w:t>
            </w:r>
          </w:p>
        </w:tc>
      </w:tr>
      <w:tr w:rsidR="00F04F09" w:rsidRPr="00F04F09" w14:paraId="2F81698B" w14:textId="77777777" w:rsidTr="00F04F09">
        <w:trPr>
          <w:trHeight w:val="294"/>
        </w:trPr>
        <w:tc>
          <w:tcPr>
            <w:tcW w:w="3216" w:type="dxa"/>
            <w:noWrap/>
            <w:hideMark/>
          </w:tcPr>
          <w:p w14:paraId="15AA2BB8" w14:textId="77777777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Post-imputation QC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3C5BF98D" w14:textId="5B3B9348" w:rsidR="00F04F09" w:rsidRPr="004756FA" w:rsidRDefault="00351C56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 xml:space="preserve">We excluded imputed variants with </w:t>
            </w:r>
            <w:proofErr w:type="spellStart"/>
            <w:r w:rsidRPr="004756FA">
              <w:rPr>
                <w:rFonts w:ascii="Arial" w:eastAsia="ＭＳ Ｐゴシック" w:hAnsi="Arial" w:cs="Arial"/>
                <w:i/>
                <w:iCs/>
                <w:color w:val="222222"/>
                <w:kern w:val="0"/>
                <w:sz w:val="22"/>
                <w:szCs w:val="22"/>
              </w:rPr>
              <w:t>Rsq</w:t>
            </w:r>
            <w:proofErr w:type="spellEnd"/>
            <w:r w:rsidRPr="004756FA">
              <w:rPr>
                <w:rFonts w:ascii="Arial" w:eastAsia="ＭＳ Ｐゴシック" w:hAnsi="Arial" w:cs="Arial"/>
                <w:color w:val="222222"/>
                <w:kern w:val="0"/>
                <w:sz w:val="22"/>
                <w:szCs w:val="22"/>
              </w:rPr>
              <w:t xml:space="preserve"> &lt; 0.7 and minor allele frequency &lt; 0.5%.</w:t>
            </w:r>
          </w:p>
        </w:tc>
      </w:tr>
      <w:tr w:rsidR="00F04F09" w:rsidRPr="00F04F09" w14:paraId="6181AA45" w14:textId="77777777" w:rsidTr="00F04F09">
        <w:trPr>
          <w:trHeight w:val="294"/>
        </w:trPr>
        <w:tc>
          <w:tcPr>
            <w:tcW w:w="3216" w:type="dxa"/>
            <w:noWrap/>
            <w:hideMark/>
          </w:tcPr>
          <w:p w14:paraId="12BAD2BD" w14:textId="77777777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Association test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24335CF3" w14:textId="1EB2BAB7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 xml:space="preserve">SAIGE software was used with age and </w:t>
            </w:r>
            <w:r w:rsidR="005B4117" w:rsidRPr="004756FA">
              <w:rPr>
                <w:rFonts w:ascii="Arial" w:eastAsia="ＭＳ Ｐゴシック" w:hAnsi="Arial" w:cs="Arial"/>
                <w:sz w:val="22"/>
                <w:szCs w:val="22"/>
              </w:rPr>
              <w:t xml:space="preserve">the 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top f</w:t>
            </w:r>
            <w:r w:rsidR="005B4117" w:rsidRPr="004756FA">
              <w:rPr>
                <w:rFonts w:ascii="Arial" w:eastAsia="ＭＳ Ｐゴシック" w:hAnsi="Arial" w:cs="Arial"/>
                <w:sz w:val="22"/>
                <w:szCs w:val="22"/>
              </w:rPr>
              <w:t>our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5B4117" w:rsidRPr="004756FA">
              <w:rPr>
                <w:rFonts w:ascii="Arial" w:eastAsia="ＭＳ Ｐゴシック" w:hAnsi="Arial" w:cs="Arial"/>
                <w:sz w:val="22"/>
                <w:szCs w:val="22"/>
              </w:rPr>
              <w:t>PC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 xml:space="preserve">s as covariates. </w:t>
            </w:r>
          </w:p>
        </w:tc>
      </w:tr>
      <w:tr w:rsidR="00F04F09" w:rsidRPr="00F04F09" w14:paraId="1EC6AC5F" w14:textId="77777777" w:rsidTr="003D62B0">
        <w:trPr>
          <w:trHeight w:val="71"/>
        </w:trPr>
        <w:tc>
          <w:tcPr>
            <w:tcW w:w="3216" w:type="dxa"/>
            <w:noWrap/>
            <w:hideMark/>
          </w:tcPr>
          <w:p w14:paraId="466E0AA8" w14:textId="77777777" w:rsidR="00F04F09" w:rsidRPr="004756FA" w:rsidRDefault="00F04F09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Meta-analysis:</w:t>
            </w:r>
          </w:p>
        </w:tc>
        <w:tc>
          <w:tcPr>
            <w:tcW w:w="6403" w:type="dxa"/>
            <w:hideMark/>
          </w:tcPr>
          <w:p w14:paraId="069BB6F6" w14:textId="3BE7A3B2" w:rsidR="00F04F09" w:rsidRPr="004756FA" w:rsidRDefault="005B4117" w:rsidP="00F04F0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4756FA">
              <w:rPr>
                <w:rFonts w:ascii="Arial" w:eastAsia="ＭＳ Ｐゴシック" w:hAnsi="Arial" w:cs="Arial"/>
                <w:bCs/>
                <w:sz w:val="22"/>
                <w:szCs w:val="22"/>
              </w:rPr>
              <w:t>METASOFT</w:t>
            </w:r>
            <w:r w:rsidR="00F04F09" w:rsidRPr="004756FA">
              <w:rPr>
                <w:rFonts w:ascii="Arial" w:eastAsia="ＭＳ Ｐゴシック" w:hAnsi="Arial" w:cs="Arial"/>
                <w:sz w:val="22"/>
                <w:szCs w:val="22"/>
              </w:rPr>
              <w:t xml:space="preserve"> software was used for the </w:t>
            </w:r>
            <w:r w:rsidRPr="004756FA">
              <w:rPr>
                <w:rFonts w:ascii="Arial" w:eastAsia="ＭＳ Ｐゴシック" w:hAnsi="Arial" w:cs="Arial"/>
                <w:sz w:val="22"/>
                <w:szCs w:val="22"/>
              </w:rPr>
              <w:t>i</w:t>
            </w:r>
            <w:r w:rsidRPr="004756FA">
              <w:rPr>
                <w:rFonts w:ascii="Arial" w:eastAsia="ＭＳ Ｐゴシック" w:hAnsi="Arial" w:cs="Arial"/>
                <w:bCs/>
                <w:sz w:val="22"/>
                <w:szCs w:val="22"/>
              </w:rPr>
              <w:t>nverse variance fixed-effects meta-analysis</w:t>
            </w:r>
            <w:r w:rsidR="00F04F09" w:rsidRPr="004756FA">
              <w:rPr>
                <w:rFonts w:ascii="Arial" w:eastAsia="ＭＳ Ｐゴシック" w:hAnsi="Arial" w:cs="Arial"/>
                <w:sz w:val="22"/>
                <w:szCs w:val="22"/>
              </w:rPr>
              <w:t>.</w:t>
            </w:r>
          </w:p>
        </w:tc>
      </w:tr>
    </w:tbl>
    <w:p w14:paraId="6A37DD2F" w14:textId="1091F2AB" w:rsidR="00D32729" w:rsidRPr="00402443" w:rsidRDefault="00D32729" w:rsidP="00615DD9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b/>
          <w:bCs/>
          <w:sz w:val="36"/>
          <w:szCs w:val="36"/>
          <w:u w:val="single"/>
        </w:rPr>
      </w:pPr>
      <w:r w:rsidRPr="00861F4A">
        <w:rPr>
          <w:rFonts w:ascii="Arial" w:eastAsia="ＭＳ Ｐゴシック" w:hAnsi="Arial" w:cs="Arial"/>
          <w:b/>
          <w:bCs/>
          <w:sz w:val="36"/>
          <w:szCs w:val="36"/>
          <w:u w:val="single"/>
        </w:rPr>
        <w:lastRenderedPageBreak/>
        <w:t>Uploaded files</w:t>
      </w:r>
    </w:p>
    <w:tbl>
      <w:tblPr>
        <w:tblStyle w:val="a4"/>
        <w:tblW w:w="9230" w:type="dxa"/>
        <w:tblLook w:val="04A0" w:firstRow="1" w:lastRow="0" w:firstColumn="1" w:lastColumn="0" w:noHBand="0" w:noVBand="1"/>
      </w:tblPr>
      <w:tblGrid>
        <w:gridCol w:w="4814"/>
        <w:gridCol w:w="4416"/>
      </w:tblGrid>
      <w:tr w:rsidR="00D32729" w:rsidRPr="00D32729" w14:paraId="1FEB4493" w14:textId="77777777" w:rsidTr="00F80B93">
        <w:trPr>
          <w:trHeight w:val="543"/>
        </w:trPr>
        <w:tc>
          <w:tcPr>
            <w:tcW w:w="4814" w:type="dxa"/>
            <w:noWrap/>
            <w:hideMark/>
          </w:tcPr>
          <w:p w14:paraId="7A6FA4EE" w14:textId="77777777" w:rsidR="00D32729" w:rsidRPr="00D32729" w:rsidRDefault="00D32729" w:rsidP="00D3272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D32729">
              <w:rPr>
                <w:rFonts w:ascii="Arial" w:eastAsia="ＭＳ Ｐゴシック" w:hAnsi="Arial" w:cs="Arial" w:hint="eastAsia"/>
                <w:sz w:val="22"/>
                <w:szCs w:val="22"/>
              </w:rPr>
              <w:t>File name</w:t>
            </w:r>
          </w:p>
        </w:tc>
        <w:tc>
          <w:tcPr>
            <w:tcW w:w="4416" w:type="dxa"/>
            <w:noWrap/>
            <w:hideMark/>
          </w:tcPr>
          <w:p w14:paraId="28174628" w14:textId="77777777" w:rsidR="00D32729" w:rsidRPr="00D32729" w:rsidRDefault="00D32729" w:rsidP="00D3272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D32729">
              <w:rPr>
                <w:rFonts w:ascii="Arial" w:eastAsia="ＭＳ Ｐゴシック" w:hAnsi="Arial" w:cs="Arial" w:hint="eastAsia"/>
                <w:sz w:val="22"/>
                <w:szCs w:val="22"/>
              </w:rPr>
              <w:t>Descriptions</w:t>
            </w:r>
          </w:p>
        </w:tc>
      </w:tr>
      <w:tr w:rsidR="00D32729" w:rsidRPr="00D32729" w14:paraId="69E54E96" w14:textId="77777777" w:rsidTr="00F80B93">
        <w:trPr>
          <w:trHeight w:val="551"/>
        </w:trPr>
        <w:tc>
          <w:tcPr>
            <w:tcW w:w="4814" w:type="dxa"/>
            <w:noWrap/>
            <w:hideMark/>
          </w:tcPr>
          <w:p w14:paraId="1FB27F4A" w14:textId="0243177A" w:rsidR="00D32729" w:rsidRPr="00D32729" w:rsidRDefault="00E14636" w:rsidP="00D3272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14636">
              <w:rPr>
                <w:rFonts w:ascii="Arial" w:eastAsia="ＭＳ Ｐゴシック" w:hAnsi="Arial" w:cs="Arial"/>
                <w:sz w:val="22"/>
                <w:szCs w:val="22"/>
              </w:rPr>
              <w:t>NMOSD_meta.txt.gz</w:t>
            </w:r>
          </w:p>
        </w:tc>
        <w:tc>
          <w:tcPr>
            <w:tcW w:w="4416" w:type="dxa"/>
            <w:noWrap/>
            <w:hideMark/>
          </w:tcPr>
          <w:p w14:paraId="1DCA0317" w14:textId="53026C43" w:rsidR="00D32729" w:rsidRPr="00D32729" w:rsidRDefault="00E14636" w:rsidP="00D32729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14636">
              <w:rPr>
                <w:rFonts w:ascii="Arial" w:eastAsia="ＭＳ Ｐゴシック" w:hAnsi="Arial" w:cs="Arial"/>
                <w:sz w:val="22"/>
                <w:szCs w:val="22"/>
              </w:rPr>
              <w:t>Results for 8,</w:t>
            </w:r>
            <w:r w:rsidR="00980E23">
              <w:rPr>
                <w:rFonts w:ascii="Arial" w:eastAsia="ＭＳ Ｐゴシック" w:hAnsi="Arial" w:cs="Arial"/>
                <w:sz w:val="22"/>
                <w:szCs w:val="22"/>
              </w:rPr>
              <w:t>894,915</w:t>
            </w:r>
            <w:r w:rsidRPr="00E14636">
              <w:rPr>
                <w:rFonts w:ascii="Arial" w:eastAsia="ＭＳ Ｐゴシック" w:hAnsi="Arial" w:cs="Arial"/>
                <w:sz w:val="22"/>
                <w:szCs w:val="22"/>
              </w:rPr>
              <w:t xml:space="preserve"> autosomal and X chromosome variants</w:t>
            </w:r>
          </w:p>
        </w:tc>
      </w:tr>
    </w:tbl>
    <w:p w14:paraId="2900D5AE" w14:textId="77777777" w:rsidR="00D32729" w:rsidRDefault="00D32729" w:rsidP="00615DD9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sz w:val="22"/>
          <w:szCs w:val="22"/>
        </w:rPr>
      </w:pPr>
    </w:p>
    <w:tbl>
      <w:tblPr>
        <w:tblpPr w:leftFromText="142" w:rightFromText="142" w:vertAnchor="page" w:horzAnchor="margin" w:tblpY="6128"/>
        <w:tblW w:w="8434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181"/>
        <w:gridCol w:w="5607"/>
      </w:tblGrid>
      <w:tr w:rsidR="007D3025" w:rsidRPr="00F04F09" w14:paraId="69276463" w14:textId="77777777" w:rsidTr="007D3025">
        <w:trPr>
          <w:tblHeader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FCF7E1" w14:textId="77777777" w:rsidR="007D3025" w:rsidRPr="00F04F09" w:rsidRDefault="007D3025" w:rsidP="007D3025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b/>
                <w:bCs/>
                <w:color w:val="222222"/>
                <w:kern w:val="0"/>
                <w:sz w:val="23"/>
                <w:szCs w:val="23"/>
              </w:rPr>
              <w:t>#</w:t>
            </w:r>
          </w:p>
        </w:tc>
        <w:tc>
          <w:tcPr>
            <w:tcW w:w="21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BE2AC9" w14:textId="77777777" w:rsidR="007D3025" w:rsidRPr="00F04F09" w:rsidRDefault="007D3025" w:rsidP="007D3025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b/>
                <w:bCs/>
                <w:color w:val="222222"/>
                <w:kern w:val="0"/>
                <w:sz w:val="23"/>
                <w:szCs w:val="23"/>
              </w:rPr>
              <w:t>column name</w:t>
            </w:r>
          </w:p>
        </w:tc>
        <w:tc>
          <w:tcPr>
            <w:tcW w:w="560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7C35C3" w14:textId="77777777" w:rsidR="007D3025" w:rsidRPr="00F04F09" w:rsidRDefault="007D3025" w:rsidP="007D3025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b/>
                <w:bCs/>
                <w:color w:val="222222"/>
                <w:kern w:val="0"/>
                <w:sz w:val="23"/>
                <w:szCs w:val="23"/>
              </w:rPr>
              <w:t>Descriptions</w:t>
            </w:r>
          </w:p>
        </w:tc>
      </w:tr>
      <w:tr w:rsidR="007D3025" w:rsidRPr="00F04F09" w14:paraId="2EF63D0A" w14:textId="77777777" w:rsidTr="007D3025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430F0C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1</w:t>
            </w:r>
          </w:p>
        </w:tc>
        <w:tc>
          <w:tcPr>
            <w:tcW w:w="21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A4F41C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CHR</w:t>
            </w:r>
          </w:p>
        </w:tc>
        <w:tc>
          <w:tcPr>
            <w:tcW w:w="560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35AB38" w14:textId="677EE0A3" w:rsidR="007D3025" w:rsidRPr="00F04F09" w:rsidRDefault="004756FA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C</w:t>
            </w:r>
            <w:r w:rsidR="007D3025"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hromosome</w:t>
            </w:r>
          </w:p>
        </w:tc>
      </w:tr>
      <w:tr w:rsidR="007D3025" w:rsidRPr="00F04F09" w14:paraId="20CB61C6" w14:textId="77777777" w:rsidTr="007D3025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907D3A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2</w:t>
            </w:r>
          </w:p>
        </w:tc>
        <w:tc>
          <w:tcPr>
            <w:tcW w:w="21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20F6AF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POS</w:t>
            </w:r>
          </w:p>
        </w:tc>
        <w:tc>
          <w:tcPr>
            <w:tcW w:w="560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4A45E88" w14:textId="0EAB8F8E" w:rsidR="007D3025" w:rsidRPr="00F04F09" w:rsidRDefault="004756FA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</w:t>
            </w:r>
            <w:r w:rsidR="007D3025"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osition (hg19)</w:t>
            </w:r>
          </w:p>
        </w:tc>
      </w:tr>
      <w:tr w:rsidR="007D3025" w:rsidRPr="00F04F09" w14:paraId="1844EFB8" w14:textId="77777777" w:rsidTr="007D3025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729EA7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3</w:t>
            </w:r>
          </w:p>
        </w:tc>
        <w:tc>
          <w:tcPr>
            <w:tcW w:w="21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3D4F94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</w:t>
            </w: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llele</w:t>
            </w: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1</w:t>
            </w:r>
          </w:p>
        </w:tc>
        <w:tc>
          <w:tcPr>
            <w:tcW w:w="560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0228B41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REF allele</w:t>
            </w:r>
          </w:p>
        </w:tc>
      </w:tr>
      <w:tr w:rsidR="007D3025" w:rsidRPr="00F04F09" w14:paraId="42715DA1" w14:textId="77777777" w:rsidTr="007D3025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AD14AD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4</w:t>
            </w:r>
          </w:p>
        </w:tc>
        <w:tc>
          <w:tcPr>
            <w:tcW w:w="21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FEF87B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</w:t>
            </w: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llele</w:t>
            </w: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2</w:t>
            </w:r>
          </w:p>
        </w:tc>
        <w:tc>
          <w:tcPr>
            <w:tcW w:w="560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8F530A" w14:textId="77777777" w:rsidR="007D3025" w:rsidRPr="00F04F09" w:rsidRDefault="007D3025" w:rsidP="007D3025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ALT allele (This allele is the effect allele.)</w:t>
            </w:r>
          </w:p>
        </w:tc>
      </w:tr>
      <w:tr w:rsidR="00980E23" w:rsidRPr="00F04F09" w14:paraId="2327ADE7" w14:textId="77777777" w:rsidTr="007D3025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21CFC5" w14:textId="77777777" w:rsidR="00980E23" w:rsidRPr="00F04F09" w:rsidRDefault="00980E23" w:rsidP="00980E23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5</w:t>
            </w:r>
          </w:p>
        </w:tc>
        <w:tc>
          <w:tcPr>
            <w:tcW w:w="21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2C69B8" w14:textId="5196BE14" w:rsidR="00980E23" w:rsidRPr="00F04F09" w:rsidRDefault="00980E23" w:rsidP="00980E23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PVALUE_FE</w:t>
            </w:r>
          </w:p>
        </w:tc>
        <w:tc>
          <w:tcPr>
            <w:tcW w:w="560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E097AD" w14:textId="682C4F6F" w:rsidR="00980E23" w:rsidRPr="00F04F09" w:rsidRDefault="00980E23" w:rsidP="00980E23">
            <w:pPr>
              <w:widowControl/>
              <w:jc w:val="left"/>
              <w:rPr>
                <w:rFonts w:ascii="Arial" w:eastAsia="ＭＳ Ｐゴシック" w:hAnsi="Arial" w:cs="Arial" w:hint="eastAsia"/>
                <w:color w:val="222222"/>
                <w:kern w:val="0"/>
                <w:sz w:val="23"/>
                <w:szCs w:val="23"/>
              </w:rPr>
            </w:pPr>
            <w:r w:rsidRPr="004756FA">
              <w:rPr>
                <w:rFonts w:ascii="Arial" w:eastAsia="ＭＳ Ｐゴシック" w:hAnsi="Arial" w:cs="Arial"/>
                <w:i/>
                <w:iCs/>
                <w:color w:val="222222"/>
                <w:kern w:val="0"/>
                <w:sz w:val="23"/>
                <w:szCs w:val="23"/>
              </w:rPr>
              <w:t>P</w:t>
            </w: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 xml:space="preserve"> value</w:t>
            </w:r>
            <w:r w:rsidR="004756FA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 xml:space="preserve"> </w:t>
            </w:r>
            <w:r w:rsidR="004756FA" w:rsidRPr="004756FA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for the effect size</w:t>
            </w:r>
          </w:p>
        </w:tc>
      </w:tr>
      <w:tr w:rsidR="00980E23" w:rsidRPr="00F04F09" w14:paraId="0C26409C" w14:textId="77777777" w:rsidTr="007D3025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473987" w14:textId="77777777" w:rsidR="00980E23" w:rsidRPr="00F04F09" w:rsidRDefault="00980E23" w:rsidP="00980E23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6</w:t>
            </w:r>
          </w:p>
        </w:tc>
        <w:tc>
          <w:tcPr>
            <w:tcW w:w="21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B76DC3C" w14:textId="65AFA038" w:rsidR="00980E23" w:rsidRPr="00F04F09" w:rsidRDefault="00980E23" w:rsidP="00980E23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BETA_FE</w:t>
            </w:r>
          </w:p>
        </w:tc>
        <w:tc>
          <w:tcPr>
            <w:tcW w:w="560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EBF517" w14:textId="4C7887ED" w:rsidR="00980E23" w:rsidRPr="00F04F09" w:rsidRDefault="004756FA" w:rsidP="00980E23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Effect size of Allele2</w:t>
            </w:r>
          </w:p>
        </w:tc>
      </w:tr>
      <w:tr w:rsidR="00980E23" w:rsidRPr="00F04F09" w14:paraId="0A5B1C88" w14:textId="77777777" w:rsidTr="007D3025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2895E90" w14:textId="77777777" w:rsidR="00980E23" w:rsidRPr="00F04F09" w:rsidRDefault="00980E23" w:rsidP="00980E23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F04F09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7</w:t>
            </w:r>
          </w:p>
        </w:tc>
        <w:tc>
          <w:tcPr>
            <w:tcW w:w="218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AFD9580" w14:textId="7D764F88" w:rsidR="00980E23" w:rsidRPr="00F04F09" w:rsidRDefault="00980E23" w:rsidP="00980E23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STD_FE</w:t>
            </w:r>
          </w:p>
        </w:tc>
        <w:tc>
          <w:tcPr>
            <w:tcW w:w="560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5D2B83" w14:textId="65B553EC" w:rsidR="00980E23" w:rsidRPr="00F04F09" w:rsidRDefault="004756FA" w:rsidP="00980E23">
            <w:pPr>
              <w:widowControl/>
              <w:jc w:val="left"/>
              <w:rPr>
                <w:rFonts w:ascii="Arial" w:eastAsia="ＭＳ Ｐゴシック" w:hAnsi="Arial" w:cs="Arial" w:hint="eastAsia"/>
                <w:color w:val="222222"/>
                <w:kern w:val="0"/>
                <w:sz w:val="23"/>
                <w:szCs w:val="23"/>
              </w:rPr>
            </w:pPr>
            <w:r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Standard error of the effect size</w:t>
            </w:r>
          </w:p>
        </w:tc>
      </w:tr>
    </w:tbl>
    <w:p w14:paraId="402B9E52" w14:textId="0D70C370" w:rsidR="00861F4A" w:rsidRPr="00861F4A" w:rsidRDefault="00861F4A" w:rsidP="00615DD9">
      <w:pPr>
        <w:widowControl/>
        <w:spacing w:before="100" w:beforeAutospacing="1" w:after="100" w:afterAutospacing="1"/>
        <w:jc w:val="left"/>
        <w:rPr>
          <w:rStyle w:val="a3"/>
          <w:rFonts w:ascii="Arial" w:eastAsia="ＭＳ Ｐゴシック" w:hAnsi="Arial" w:cs="Arial"/>
          <w:sz w:val="36"/>
          <w:szCs w:val="36"/>
          <w:u w:val="single"/>
        </w:rPr>
      </w:pPr>
      <w:r w:rsidRPr="00861F4A">
        <w:rPr>
          <w:rStyle w:val="a3"/>
          <w:rFonts w:ascii="Arial" w:eastAsia="ＭＳ Ｐゴシック" w:hAnsi="Arial" w:cs="Arial"/>
          <w:sz w:val="36"/>
          <w:szCs w:val="36"/>
          <w:u w:val="single"/>
        </w:rPr>
        <w:t>Columns</w:t>
      </w:r>
    </w:p>
    <w:p w14:paraId="4A2CEA9A" w14:textId="0931BCF7" w:rsidR="009A0DFF" w:rsidRPr="00861F4A" w:rsidRDefault="009A0DFF" w:rsidP="00CF3494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sz w:val="36"/>
          <w:szCs w:val="36"/>
        </w:rPr>
      </w:pPr>
    </w:p>
    <w:sectPr w:rsidR="009A0DFF" w:rsidRPr="00861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17"/>
    <w:rsid w:val="00087198"/>
    <w:rsid w:val="000E3D0F"/>
    <w:rsid w:val="001134FE"/>
    <w:rsid w:val="00160F86"/>
    <w:rsid w:val="0016625A"/>
    <w:rsid w:val="002E3572"/>
    <w:rsid w:val="00351C56"/>
    <w:rsid w:val="00387FC4"/>
    <w:rsid w:val="003B6FC9"/>
    <w:rsid w:val="003C5A9B"/>
    <w:rsid w:val="003D0A9C"/>
    <w:rsid w:val="003D62B0"/>
    <w:rsid w:val="00402443"/>
    <w:rsid w:val="004352BE"/>
    <w:rsid w:val="004756FA"/>
    <w:rsid w:val="004D21EE"/>
    <w:rsid w:val="004F7CD5"/>
    <w:rsid w:val="005110A7"/>
    <w:rsid w:val="005B4117"/>
    <w:rsid w:val="00615DD9"/>
    <w:rsid w:val="00654CE6"/>
    <w:rsid w:val="006D3AC4"/>
    <w:rsid w:val="006E14FA"/>
    <w:rsid w:val="006F0763"/>
    <w:rsid w:val="00791F49"/>
    <w:rsid w:val="007D3025"/>
    <w:rsid w:val="00861F4A"/>
    <w:rsid w:val="008B39DD"/>
    <w:rsid w:val="008D59D9"/>
    <w:rsid w:val="00980E23"/>
    <w:rsid w:val="009A0DFF"/>
    <w:rsid w:val="009C05DA"/>
    <w:rsid w:val="009E5ADE"/>
    <w:rsid w:val="00A1625E"/>
    <w:rsid w:val="00A3220D"/>
    <w:rsid w:val="00A40088"/>
    <w:rsid w:val="00AB79E2"/>
    <w:rsid w:val="00AF1360"/>
    <w:rsid w:val="00AF4A7C"/>
    <w:rsid w:val="00B0638A"/>
    <w:rsid w:val="00B40710"/>
    <w:rsid w:val="00B74796"/>
    <w:rsid w:val="00BE7E17"/>
    <w:rsid w:val="00C62DF6"/>
    <w:rsid w:val="00CD4265"/>
    <w:rsid w:val="00CF3494"/>
    <w:rsid w:val="00D32729"/>
    <w:rsid w:val="00DF0FCB"/>
    <w:rsid w:val="00E14636"/>
    <w:rsid w:val="00E35F38"/>
    <w:rsid w:val="00E94BC8"/>
    <w:rsid w:val="00EA35DD"/>
    <w:rsid w:val="00EE4685"/>
    <w:rsid w:val="00F04F09"/>
    <w:rsid w:val="00F3486D"/>
    <w:rsid w:val="00F8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BE875"/>
  <w15:chartTrackingRefBased/>
  <w15:docId w15:val="{763A2AD7-B0C3-43F2-845B-1369D0D6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E17"/>
    <w:rPr>
      <w:b/>
      <w:bCs/>
    </w:rPr>
  </w:style>
  <w:style w:type="table" w:styleId="a4">
    <w:name w:val="Table Grid"/>
    <w:basedOn w:val="a1"/>
    <w:uiPriority w:val="39"/>
    <w:rsid w:val="00F0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雄也</dc:creator>
  <cp:keywords/>
  <dc:description/>
  <cp:lastModifiedBy>知大 矢田</cp:lastModifiedBy>
  <cp:revision>7</cp:revision>
  <dcterms:created xsi:type="dcterms:W3CDTF">2024-12-07T16:13:00Z</dcterms:created>
  <dcterms:modified xsi:type="dcterms:W3CDTF">2024-12-07T17:34:00Z</dcterms:modified>
</cp:coreProperties>
</file>